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24F6" w14:textId="77777777" w:rsidR="00571FC9" w:rsidRDefault="00571FC9" w:rsidP="00662212">
      <w:pPr>
        <w:spacing w:before="360"/>
        <w:ind w:left="4536"/>
        <w:jc w:val="right"/>
      </w:pPr>
      <w:r>
        <w:t>Čj.: ČŠIG-/-</w:t>
      </w:r>
    </w:p>
    <w:p w14:paraId="0F2EBB66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9F24BC0" wp14:editId="3F50DB84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7FD38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0F19F38F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71A180D9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5BD9051C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2FA5DBD0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08EE8FD6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4310ACFB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71C8E169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AE68F8">
        <w:rPr>
          <w:sz w:val="22"/>
          <w:szCs w:val="22"/>
        </w:rPr>
        <w:t>Bc. Kamil Melichárek</w:t>
      </w:r>
    </w:p>
    <w:p w14:paraId="427C7D3E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AE68F8">
        <w:rPr>
          <w:sz w:val="22"/>
          <w:szCs w:val="22"/>
        </w:rPr>
        <w:t>kamil.melicharek@csicr.cz</w:t>
      </w:r>
    </w:p>
    <w:p w14:paraId="3CDD965B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1BDDEAF1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2B8AD6C6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085E3EC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229A16E8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0C6D7CE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F5C78DC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799587C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7887DBA6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F026C37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6AFE25A9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32F7C0A0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65A59A42" w14:textId="77777777" w:rsidR="00571FC9" w:rsidRPr="00CC13D6" w:rsidRDefault="00571FC9" w:rsidP="00662212">
      <w:pPr>
        <w:pStyle w:val="Odstavecseseznamem"/>
        <w:widowControl w:val="0"/>
        <w:tabs>
          <w:tab w:val="left" w:pos="709"/>
        </w:tabs>
        <w:ind w:left="0"/>
        <w:contextualSpacing w:val="0"/>
      </w:pPr>
      <w:r w:rsidRPr="00CC13D6">
        <w:t xml:space="preserve">Tato smlouva byla uzavřena s vybraným uchazečem na základě zadávacího řízení veřejné zakázky malého rozsahu </w:t>
      </w:r>
      <w:r>
        <w:t xml:space="preserve">ČŠI Praha – </w:t>
      </w:r>
      <w:r w:rsidR="00065718">
        <w:t>Rozšíření parkoviště ústředí</w:t>
      </w:r>
      <w:r w:rsidR="00195AFB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 xml:space="preserve">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1D1BB18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A76D39F" w14:textId="77777777" w:rsidR="00571FC9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</w:t>
      </w:r>
      <w:r w:rsidR="00A30537">
        <w:t xml:space="preserve"> a další dokumentací</w:t>
      </w:r>
      <w:r w:rsidRPr="00066882">
        <w:t xml:space="preserve">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4BA16875" w14:textId="28FA948E" w:rsidR="0029310F" w:rsidRPr="0029310F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</w:t>
      </w:r>
      <w:r w:rsidR="00E62C9A">
        <w:t>plnění</w:t>
      </w:r>
      <w:r w:rsidRPr="00303753">
        <w:t xml:space="preserve"> je </w:t>
      </w:r>
      <w:r w:rsidR="00065718">
        <w:rPr>
          <w:color w:val="000000"/>
        </w:rPr>
        <w:t xml:space="preserve">rozšíření parkoviště </w:t>
      </w:r>
      <w:r w:rsidRPr="006040A5">
        <w:rPr>
          <w:color w:val="000000"/>
        </w:rPr>
        <w:t>objektu České školní inspekce, Fráni Šrámka 37, 150 21 Praha 5</w:t>
      </w:r>
      <w:r w:rsidR="00065718">
        <w:rPr>
          <w:color w:val="000000"/>
        </w:rPr>
        <w:t xml:space="preserve"> o 11 parkovacích míst pro osobní automobily a 4 – </w:t>
      </w:r>
      <w:r w:rsidR="00E44AF9">
        <w:rPr>
          <w:color w:val="000000"/>
        </w:rPr>
        <w:t xml:space="preserve">5 parkovacích míst pro jízdní </w:t>
      </w:r>
      <w:r w:rsidR="00820203">
        <w:rPr>
          <w:color w:val="000000"/>
        </w:rPr>
        <w:t>kola</w:t>
      </w:r>
      <w:r w:rsidRPr="006040A5">
        <w:rPr>
          <w:color w:val="000000"/>
        </w:rPr>
        <w:t xml:space="preserve">. </w:t>
      </w:r>
    </w:p>
    <w:p w14:paraId="0A312759" w14:textId="77777777" w:rsidR="0029310F" w:rsidRPr="0029310F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29310F">
        <w:rPr>
          <w:color w:val="000000"/>
        </w:rPr>
        <w:t>Rozšíření parkoviště zahrnuje pokládku zatravňovacích panelů a betonové zámkové dlažby na zhutněný štěrkový podklad a zhutněné srovnané podloží, parkovací plocha bude lemovaná betonovými obrubníky.</w:t>
      </w:r>
    </w:p>
    <w:p w14:paraId="1ABF48D1" w14:textId="77777777" w:rsidR="0029310F" w:rsidRPr="0029310F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29310F">
        <w:rPr>
          <w:color w:val="000000"/>
        </w:rPr>
        <w:t>Dojde k vykácení nízké keřovité zeleně při vnitřním chodníku, v rámci plochy bude sejmuta ornice a provedeno zpevněné štěrkové podloží.</w:t>
      </w:r>
    </w:p>
    <w:p w14:paraId="37593858" w14:textId="77777777" w:rsidR="0029310F" w:rsidRPr="00314C94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29310F">
        <w:rPr>
          <w:color w:val="000000"/>
        </w:rPr>
        <w:t>Základním stavebním materiálem bude betonová přírodní šedá zámková dlažba, betonové šedé zatravňovací panely a obrubníky.</w:t>
      </w:r>
    </w:p>
    <w:p w14:paraId="74D34735" w14:textId="77777777" w:rsidR="005111D2" w:rsidRPr="00314C94" w:rsidRDefault="005111D2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Součástí plnění bude také dodávka, instalace a oživení slaboproudých technologií (</w:t>
      </w:r>
      <w:proofErr w:type="spellStart"/>
      <w:r>
        <w:rPr>
          <w:color w:val="000000"/>
        </w:rPr>
        <w:t>ethernet</w:t>
      </w:r>
      <w:proofErr w:type="spellEnd"/>
      <w:r>
        <w:rPr>
          <w:color w:val="000000"/>
        </w:rPr>
        <w:t xml:space="preserve"> LAN, přístupový systém ovládání vjezdové brány na karty, vrátník – IP </w:t>
      </w:r>
      <w:proofErr w:type="spellStart"/>
      <w:r>
        <w:rPr>
          <w:color w:val="000000"/>
        </w:rPr>
        <w:t>videointerkom</w:t>
      </w:r>
      <w:proofErr w:type="spellEnd"/>
      <w:r>
        <w:rPr>
          <w:color w:val="000000"/>
        </w:rPr>
        <w:t xml:space="preserve"> a IP kamera, vše včetně kabeláže), přičemž pro přístupový systém je požadována maximální kompatibilita s již instalovaným HW a SW stávajícího přístupového systému objednatele.</w:t>
      </w:r>
    </w:p>
    <w:p w14:paraId="685FA1C8" w14:textId="77777777" w:rsidR="005111D2" w:rsidRPr="0029310F" w:rsidRDefault="005111D2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Součástí plnění bude dále</w:t>
      </w:r>
      <w:r w:rsidR="00BB0FDE">
        <w:rPr>
          <w:color w:val="000000"/>
        </w:rPr>
        <w:t xml:space="preserve"> dodávka a </w:t>
      </w:r>
      <w:r>
        <w:rPr>
          <w:color w:val="000000"/>
        </w:rPr>
        <w:t>instalace venkovního osvětlení po obvodu parkoviště.</w:t>
      </w:r>
    </w:p>
    <w:p w14:paraId="37CE544B" w14:textId="77777777" w:rsidR="0029310F" w:rsidRPr="00995D65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Okolní stavby budou chráněny před prašností a hlukem dle </w:t>
      </w:r>
      <w:r w:rsidRPr="00995D65">
        <w:t>platné legislativy, stavební práce nebudou probíhat v nočních hodinách a ve dnech pracovního klidu.</w:t>
      </w:r>
    </w:p>
    <w:p w14:paraId="01848489" w14:textId="77777777" w:rsidR="0029310F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995D65">
        <w:t>Stavební odpady budou likvidovány podle platné legislativy</w:t>
      </w:r>
      <w:r>
        <w:t xml:space="preserve"> na řízených skládkách.</w:t>
      </w:r>
    </w:p>
    <w:p w14:paraId="53DD3397" w14:textId="77777777" w:rsidR="0029310F" w:rsidRPr="006040A5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Staveniště bude napojeno na rozvod vody a elektřiny ze stávající budovy ČŠI.</w:t>
      </w:r>
    </w:p>
    <w:p w14:paraId="68110E0F" w14:textId="77777777" w:rsidR="00571FC9" w:rsidRPr="00742B0E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42B0E">
        <w:t xml:space="preserve">Bližší vymezení předmětu plnění je uvedeno v příloze č. 1 </w:t>
      </w:r>
      <w:r>
        <w:t xml:space="preserve">této smlouvy </w:t>
      </w:r>
      <w:r w:rsidRPr="00742B0E">
        <w:t>výkazu výměr s položkovým rozpočtem.</w:t>
      </w:r>
    </w:p>
    <w:p w14:paraId="71553175" w14:textId="77777777" w:rsidR="00571FC9" w:rsidRPr="008674C2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 služby nutné ke splnění díla.</w:t>
      </w:r>
    </w:p>
    <w:p w14:paraId="6C5757CD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DD04EE1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Termíny a místo plnění</w:t>
      </w:r>
    </w:p>
    <w:p w14:paraId="6B6EEDDE" w14:textId="77777777" w:rsidR="00571FC9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19A85FA7" w14:textId="77777777" w:rsidR="00571FC9" w:rsidRPr="00AE68F8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</w:t>
      </w:r>
      <w:r w:rsidR="0029310F">
        <w:t xml:space="preserve">ín zahájení díla nejpozději </w:t>
      </w:r>
      <w:r w:rsidR="0029310F" w:rsidRPr="00995D65">
        <w:t>do 5</w:t>
      </w:r>
      <w:r w:rsidRPr="00995D65">
        <w:t xml:space="preserve"> dnů</w:t>
      </w:r>
      <w:r>
        <w:t xml:space="preserve"> od podpisu smlouvy.</w:t>
      </w:r>
    </w:p>
    <w:p w14:paraId="6B6A42D6" w14:textId="77777777" w:rsidR="00571FC9" w:rsidRPr="00C04BD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8D35DE" w:rsidRPr="00232C9A">
        <w:t>30</w:t>
      </w:r>
      <w:r w:rsidR="00CD47CC">
        <w:t xml:space="preserve"> dnů </w:t>
      </w:r>
      <w:r>
        <w:t>od podpisu smlouvy.</w:t>
      </w:r>
    </w:p>
    <w:p w14:paraId="6692FC48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2FE54FC4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B31E47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1416E0BC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4CB8398E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převzetí,</w:t>
      </w:r>
    </w:p>
    <w:p w14:paraId="5284CB56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4B797869" w14:textId="4EDFCF47" w:rsidR="00502996" w:rsidRDefault="00502996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Umožnit objednateli užití stávajícího parkoviště (trvale prostor jednotlivých parkovacích stání, dle potřeby středový pás pro zajíždění a vyjíždění vozidel) včetně vjezdu mimo části, kterou je pás šíře 5 metrů u zadní strany parkoviště (na kterou bude navázáno rozšířením). Zhotovitel tedy může pro vlastní manipulaci využít prostor odpovídající šířce cca 2 parkovacích míst po obou stranách a ve středovém pásu. Parkování techniky nebo umístění materiálu zhotovitelem je dále možné kdekoliv na </w:t>
      </w:r>
      <w:r w:rsidR="00FF7F08">
        <w:t xml:space="preserve">plněním </w:t>
      </w:r>
      <w:r w:rsidR="00E2611E">
        <w:t xml:space="preserve">dotčené části </w:t>
      </w:r>
      <w:r>
        <w:t>pozemku</w:t>
      </w:r>
      <w:r w:rsidR="00FF7F08">
        <w:t xml:space="preserve"> (včetně výše uvedeného vyhrazeného pásu)</w:t>
      </w:r>
      <w:r>
        <w:t>. Zhotovitel nese odpovědnost za případné škody způsobené na vozidlech parkujících v určeném prostoru (</w:t>
      </w:r>
      <w:r w:rsidR="00EA2A17">
        <w:t>stávající parkoviště mimo posledních 2 stání na každé straně, resp. pásu šíře 5 metrů).</w:t>
      </w:r>
    </w:p>
    <w:p w14:paraId="0E0D29A4" w14:textId="77777777" w:rsidR="007C7C77" w:rsidRDefault="007C7C77" w:rsidP="00662212">
      <w:pPr>
        <w:pStyle w:val="Odstavecseseznamem"/>
        <w:widowControl w:val="0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Přerušení </w:t>
      </w:r>
      <w:r w:rsidRPr="0016117F">
        <w:t xml:space="preserve">dodávky </w:t>
      </w:r>
      <w:r>
        <w:t>elektrické energie</w:t>
      </w:r>
      <w:r w:rsidRPr="0016117F">
        <w:t xml:space="preserve"> </w:t>
      </w:r>
      <w:r>
        <w:t>kdekoliv v budově mimo určenou větev napájení (instalace venkovního osvětlení a instalace napájení slaboproudých systémů)</w:t>
      </w:r>
      <w:r w:rsidRPr="0016117F">
        <w:t xml:space="preserve"> 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plánovanou realizací.</w:t>
      </w:r>
    </w:p>
    <w:p w14:paraId="2A0335B9" w14:textId="2078B0C1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Veškeré práce způsobující výrazný hluk (bourací práce) omezující kancelářskou práci v přilehlé budově je možné bez omezení provádět pouze ve dnech pracovního klidu. V pracovních dnech jsou takové práce možné až po pracovní době od 16.</w:t>
      </w:r>
      <w:r w:rsidRPr="00CF2E34">
        <w:t>00</w:t>
      </w:r>
      <w:r>
        <w:t xml:space="preserve"> do 6.00, v pátek od 14.00 hod. a dále neomezeně</w:t>
      </w:r>
      <w:r w:rsidR="00E2611E">
        <w:t xml:space="preserve">, vždy však při dodržení obecně </w:t>
      </w:r>
      <w:r w:rsidR="004F1412">
        <w:t>závazných právn</w:t>
      </w:r>
      <w:r w:rsidR="00232C9A">
        <w:t>ích</w:t>
      </w:r>
      <w:r w:rsidR="00E2611E">
        <w:t xml:space="preserve"> předpisů (zachování nočního klidu apod.)</w:t>
      </w:r>
      <w:r>
        <w:t xml:space="preserve">. Akutní krátkodobé porušení této podmínky bude možné jen s předchozím souhlasem objednatele. </w:t>
      </w:r>
    </w:p>
    <w:p w14:paraId="5830B613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5FC5D5C3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7C7C77">
        <w:t>.</w:t>
      </w:r>
    </w:p>
    <w:p w14:paraId="43A67208" w14:textId="77777777" w:rsidR="007C7C77" w:rsidRDefault="007C7C77" w:rsidP="00662212">
      <w:pPr>
        <w:pStyle w:val="Odstavecseseznamem"/>
        <w:widowControl w:val="0"/>
        <w:numPr>
          <w:ilvl w:val="0"/>
          <w:numId w:val="28"/>
        </w:numPr>
        <w:spacing w:before="60"/>
        <w:ind w:left="641" w:hanging="284"/>
        <w:contextualSpacing w:val="0"/>
      </w:pPr>
      <w:r>
        <w:t>Zhotovitel může v důsledku provádění výkopových prací (pokládka kabeláže) omezit vjezd na parkoviště nebo do prostoru před garážemi</w:t>
      </w:r>
      <w:r w:rsidR="00502996">
        <w:t xml:space="preserve">, a to tak, že zcela, pak </w:t>
      </w:r>
      <w:r>
        <w:t>v nepřetržité délce maximálně 1 den</w:t>
      </w:r>
      <w:r w:rsidR="00502996">
        <w:t xml:space="preserve"> (výhradně ve dnech pracovního klidu) nebo částečně (vozidla hmotnosti vyšší než 3,5 tuny) např. tím, že výkop opatří pojezdnou plošinou, pak takové omezení může trvat maximálně</w:t>
      </w:r>
      <w:r>
        <w:t xml:space="preserve"> 4 dny</w:t>
      </w:r>
      <w:r w:rsidR="00502996">
        <w:t xml:space="preserve">. </w:t>
      </w:r>
      <w:r>
        <w:t xml:space="preserve">Toto omezení vyplývá z paralelně probíhající realizace jiného projektu. </w:t>
      </w:r>
      <w:r w:rsidR="00502996">
        <w:t>Pokud dojde k porušení těchto lhůt, bude objednatelem uplatněna sankce dle článku 9 odst. 1 této smlouvy.</w:t>
      </w:r>
    </w:p>
    <w:p w14:paraId="63716EB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lastRenderedPageBreak/>
        <w:t>Objednatel je povinen</w:t>
      </w:r>
    </w:p>
    <w:p w14:paraId="11B1BCE6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</w:p>
    <w:p w14:paraId="6AA88989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5EB13FA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0E3152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2AF30D7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05F18060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1CD6954E" w14:textId="77777777" w:rsidR="00571FC9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6F2A8E2D" w14:textId="77777777" w:rsidR="00571FC9" w:rsidRPr="0076676B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4E9D411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01D61899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0D7A5CE2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2A49FF88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73DCBC13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76282387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7CE7F158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6922AE2F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2812C98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6098B628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D910EF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20F741C4" w14:textId="77777777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 xml:space="preserve"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uvedeny v přiloženém výkazu výměr, přičemž jejich nutnost je zřejmá z obecně platných norem, projektové dokumentace (včetně technické zprávy a dalších dokumentů) nebo jejich </w:t>
      </w:r>
      <w:r>
        <w:lastRenderedPageBreak/>
        <w:t>nutnost vyplývá ze zjištění nabytých při prohlídce objektu, popř. existuje více možných řešení daného požadavku v souladu se zadáním zadavatele. Odpovědností uchazeče je také kontrola a revize řádné funkce výpočtů nastavených ve výchozí podobě výkazu výměr zadavatelem.</w:t>
      </w:r>
    </w:p>
    <w:p w14:paraId="48A2CC9A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289005F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38419C4A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48158844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7D197A2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557142FA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75234BDB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662204FF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42268EF7" w14:textId="77777777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 xml:space="preserve">raně zhotovitele, a to ve výši </w:t>
      </w:r>
      <w:r w:rsidRPr="00AE68F8">
        <w:t>5 000</w:t>
      </w:r>
      <w:r w:rsidRPr="00E56DE5">
        <w:t>,- Kč za každ</w:t>
      </w:r>
      <w:r>
        <w:t>é takové porušení za každ</w:t>
      </w:r>
      <w:r w:rsidRPr="00E56DE5">
        <w:t>ý i započatý den prodlení.</w:t>
      </w:r>
    </w:p>
    <w:p w14:paraId="5C477BE3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3D688B5B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6EB6FE5E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7D4953F5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0126C8EE" w14:textId="51CAA44E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Na předané dílo zhotovitel poskytuje záruku v délce trvání </w:t>
      </w:r>
      <w:r w:rsidR="00501218">
        <w:t>5 let na stavební práce a 2 roky na technologie</w:t>
      </w:r>
      <w:r w:rsidRPr="001C70DC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47F70DBB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lastRenderedPageBreak/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6BD68C69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20D57668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382C3AB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I v dalších případech může dojít k dohodě o přiměřené slevy z ceny plnění.</w:t>
      </w:r>
    </w:p>
    <w:p w14:paraId="13D63F07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1D3CA545" w14:textId="77777777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převzetí díla, dokladů o předepsaných zkouškách a revizích,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3A9D049C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>
        <w:t xml:space="preserve">Podmínkou předání a převzetí díla je provedení všech </w:t>
      </w:r>
      <w:r w:rsidRPr="00AE68F8">
        <w:t>revizních zkoušek předepsaných zvláštními předpisy, závaznými platnými normami a projektovou dokumentací.</w:t>
      </w:r>
    </w:p>
    <w:p w14:paraId="34C6A585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43C8B8C8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0665A5DB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dokumentaci skutečného provedení díla (2x v listinné podobě a 1x na CD, včetně fotodokumentace),</w:t>
      </w:r>
    </w:p>
    <w:p w14:paraId="049863D5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osvědčení (protokoly) o provedených zkouškách, revizích</w:t>
      </w:r>
    </w:p>
    <w:p w14:paraId="653A885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118E5B83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1D597082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0B3DDC62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5F3C5512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28987998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 xml:space="preserve"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</w:t>
      </w:r>
      <w:r>
        <w:lastRenderedPageBreak/>
        <w:t>tím současně požaduje po zhotoviteli jejich bezplatné odstranění. Za vady, které se projevily po odevzdání díla, zodpovídá zhotovitel v rozsahu sjednané záruky za jakost.</w:t>
      </w:r>
    </w:p>
    <w:p w14:paraId="7C7D7ED4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75777736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0325378D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Staveniště</w:t>
      </w:r>
    </w:p>
    <w:p w14:paraId="45D0C31C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74D9ED6D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677660C9" w14:textId="77777777" w:rsidR="00571FC9" w:rsidRPr="00AE68F8" w:rsidRDefault="00571FC9" w:rsidP="00662212">
      <w:r w:rsidRPr="00AE68F8">
        <w:t>Z obsahu zápisu musí být jednoznačné:</w:t>
      </w:r>
    </w:p>
    <w:p w14:paraId="436BF854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20228B47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vytýčení hranice staveniště,</w:t>
      </w:r>
    </w:p>
    <w:p w14:paraId="6845F7AF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přípojných bodů inženýrských sítí uvnitř staveniště zhotoviteli (kanalizace, NN – 3x380/220V, voda),</w:t>
      </w:r>
    </w:p>
    <w:p w14:paraId="5F3BED0F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1902354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04C30D63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49E5369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796C8F27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 sebe převezme odpovědnost původce odpadu vyplývající ze zákona č. 185/20</w:t>
      </w:r>
      <w:r w:rsidR="00E05663" w:rsidRPr="00AE68F8">
        <w:t>01 Sb., a </w:t>
      </w:r>
      <w:r w:rsidRPr="00AE68F8"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 w:rsidRPr="00AE68F8">
        <w:t>Katalog odpadů, Seznam nebezpeč</w:t>
      </w:r>
      <w:r w:rsidRPr="00AE68F8">
        <w:t>ných odpadů a seznamy odpadů a států pro účely vývozu, d</w:t>
      </w:r>
      <w:r w:rsidR="00B73355" w:rsidRPr="00AE68F8">
        <w:t>ovozu a tranzitu odpadů a postup</w:t>
      </w:r>
      <w:r w:rsidRPr="00AE68F8"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54BCC9DF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lastRenderedPageBreak/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69994FD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998F786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3C5C924B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46650D14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2DB39D32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5EA25457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148A6AE5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Stavební deník</w:t>
      </w:r>
    </w:p>
    <w:p w14:paraId="1D338C24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5D93F65A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105EBA28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1D1853B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4951773D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5558497C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3707EA39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45B14DD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E034536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1E82ECE1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1FC6396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1295BB3B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bezdůvodným přerušením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153C757E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 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4B7418F2" w14:textId="77777777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>1 c) této smlouvy.</w:t>
      </w:r>
    </w:p>
    <w:p w14:paraId="3FEDE24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240E2931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4E4EF22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5AC823B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060CF6E4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3A683A0F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4B8811E3" w14:textId="77777777" w:rsidR="00377ADF" w:rsidRPr="001924EF" w:rsidRDefault="00377ADF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lastRenderedPageBreak/>
        <w:t>Dodavatel je povinen poskytnout součinnost při výkonu finanční kontroly ve smyslu §2 písm. e) a §13 zákona o finanční kontrole, tj. poskytnout kontrolnímu orgánu doklady o dodávkách stavebních prací, zboží a služeb hrazených z veřejných výdajů nebo z veřejné finanční podpory v rozsahu nezbytném pro ověření příslušné operace. Tuto povinnost musí dodavatel požadovat i po svých dodavatelích.</w:t>
      </w:r>
    </w:p>
    <w:p w14:paraId="3E23136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2ABF30A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7997AF4E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4B2D3A0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117C73B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2842EE1D" w14:textId="77777777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2AB5938C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12EA2081" w14:textId="77777777" w:rsidR="00A510D9" w:rsidRPr="00C03D77" w:rsidRDefault="00A510D9" w:rsidP="00662212">
      <w:pPr>
        <w:widowControl w:val="0"/>
        <w:tabs>
          <w:tab w:val="left" w:pos="709"/>
        </w:tabs>
      </w:pPr>
      <w:r w:rsidRPr="00C03D77">
        <w:t xml:space="preserve">Příloha č. 1 </w:t>
      </w:r>
      <w:r w:rsidR="00C03D77" w:rsidRPr="00C03D77">
        <w:t>Výkaz výměr</w:t>
      </w:r>
    </w:p>
    <w:p w14:paraId="3AEDA2A5" w14:textId="77777777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 2</w:t>
      </w:r>
      <w:r w:rsidR="00C03D77" w:rsidRPr="00C03D77">
        <w:t xml:space="preserve"> Projektová dokumentace</w:t>
      </w:r>
    </w:p>
    <w:p w14:paraId="49856D1B" w14:textId="77777777" w:rsidR="00571FC9" w:rsidRDefault="00571FC9" w:rsidP="00662212"/>
    <w:p w14:paraId="1EB7847F" w14:textId="77777777" w:rsidR="00571FC9" w:rsidRDefault="00571FC9" w:rsidP="00662212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0162ADE5" w14:textId="77777777" w:rsidR="00571FC9" w:rsidRDefault="00571FC9" w:rsidP="00662212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</w:r>
      <w:r>
        <w:tab/>
      </w:r>
      <w:r w:rsidR="00450B6E">
        <w:t>V Praze</w:t>
      </w:r>
      <w:r>
        <w:t xml:space="preserve"> dne ……….</w:t>
      </w:r>
    </w:p>
    <w:p w14:paraId="41B5CEAF" w14:textId="77777777" w:rsidR="00571FC9" w:rsidRDefault="00571FC9" w:rsidP="00662212"/>
    <w:p w14:paraId="76C6D4A8" w14:textId="77777777" w:rsidR="00571FC9" w:rsidRDefault="00571FC9" w:rsidP="00662212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44D92878" w14:textId="77777777" w:rsidR="00571FC9" w:rsidRPr="00571FC9" w:rsidRDefault="00571FC9" w:rsidP="00662212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B73E0" w14:textId="77777777" w:rsidR="006D0074" w:rsidRDefault="006D0074">
      <w:pPr>
        <w:spacing w:before="0"/>
      </w:pPr>
      <w:r>
        <w:separator/>
      </w:r>
    </w:p>
  </w:endnote>
  <w:endnote w:type="continuationSeparator" w:id="0">
    <w:p w14:paraId="5C829F45" w14:textId="77777777" w:rsidR="006D0074" w:rsidRDefault="006D00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EB620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F306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F306A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E78F3" w14:textId="77777777" w:rsidR="006D0074" w:rsidRDefault="006D0074">
      <w:pPr>
        <w:spacing w:before="0"/>
      </w:pPr>
      <w:r>
        <w:separator/>
      </w:r>
    </w:p>
  </w:footnote>
  <w:footnote w:type="continuationSeparator" w:id="0">
    <w:p w14:paraId="45978846" w14:textId="77777777" w:rsidR="006D0074" w:rsidRDefault="006D007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9E0D" w14:textId="3A9C6ACE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314C94">
      <w:rPr>
        <w:i/>
      </w:rPr>
      <w:t>Rozšíření parkoviště ústředí</w:t>
    </w:r>
    <w:r w:rsidR="005F306A">
      <w:rPr>
        <w:i/>
      </w:rPr>
      <w:t xml:space="preserve"> II</w:t>
    </w:r>
  </w:p>
  <w:p w14:paraId="6ACC2208" w14:textId="0B6CDBE7" w:rsidR="009C4F2B" w:rsidRPr="00E90CF8" w:rsidRDefault="002629AD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5F306A">
      <w:rPr>
        <w:i/>
      </w:rPr>
      <w:t>1105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770DDE">
      <w:rPr>
        <w:i/>
      </w:rPr>
      <w:t>G42</w:t>
    </w:r>
    <w:r w:rsidR="00146066" w:rsidRPr="00711D50">
      <w:rPr>
        <w:i/>
      </w:rPr>
      <w:tab/>
    </w:r>
    <w:r w:rsidR="00146066" w:rsidRPr="00711D50">
      <w:rPr>
        <w:i/>
      </w:rPr>
      <w:tab/>
    </w:r>
    <w:r w:rsidR="00146066">
      <w:rPr>
        <w:i/>
      </w:rPr>
      <w:t>čj. ČŠIG-</w:t>
    </w:r>
    <w:r w:rsidR="005F306A">
      <w:rPr>
        <w:i/>
      </w:rPr>
      <w:t>3559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770DDE">
      <w:rPr>
        <w:i/>
      </w:rPr>
      <w:t>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4"/>
  </w:num>
  <w:num w:numId="5">
    <w:abstractNumId w:val="10"/>
  </w:num>
  <w:num w:numId="6">
    <w:abstractNumId w:val="27"/>
  </w:num>
  <w:num w:numId="7">
    <w:abstractNumId w:val="3"/>
  </w:num>
  <w:num w:numId="8">
    <w:abstractNumId w:val="8"/>
  </w:num>
  <w:num w:numId="9">
    <w:abstractNumId w:val="25"/>
  </w:num>
  <w:num w:numId="10">
    <w:abstractNumId w:val="28"/>
  </w:num>
  <w:num w:numId="11">
    <w:abstractNumId w:val="20"/>
  </w:num>
  <w:num w:numId="12">
    <w:abstractNumId w:val="9"/>
  </w:num>
  <w:num w:numId="13">
    <w:abstractNumId w:val="12"/>
  </w:num>
  <w:num w:numId="14">
    <w:abstractNumId w:val="21"/>
  </w:num>
  <w:num w:numId="15">
    <w:abstractNumId w:val="7"/>
  </w:num>
  <w:num w:numId="16">
    <w:abstractNumId w:val="11"/>
  </w:num>
  <w:num w:numId="17">
    <w:abstractNumId w:val="17"/>
  </w:num>
  <w:num w:numId="18">
    <w:abstractNumId w:val="26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4"/>
  </w:num>
  <w:num w:numId="26">
    <w:abstractNumId w:val="18"/>
  </w:num>
  <w:num w:numId="27">
    <w:abstractNumId w:val="2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140D7"/>
    <w:rsid w:val="00032AD4"/>
    <w:rsid w:val="000349E6"/>
    <w:rsid w:val="0004514B"/>
    <w:rsid w:val="000566B4"/>
    <w:rsid w:val="00063864"/>
    <w:rsid w:val="00065718"/>
    <w:rsid w:val="00067CEE"/>
    <w:rsid w:val="00076AB1"/>
    <w:rsid w:val="00081DCC"/>
    <w:rsid w:val="00092D24"/>
    <w:rsid w:val="000E0F7D"/>
    <w:rsid w:val="001028BE"/>
    <w:rsid w:val="00110489"/>
    <w:rsid w:val="00146066"/>
    <w:rsid w:val="001708D5"/>
    <w:rsid w:val="00195AFB"/>
    <w:rsid w:val="001A3383"/>
    <w:rsid w:val="001B1F19"/>
    <w:rsid w:val="001E44C2"/>
    <w:rsid w:val="00225B47"/>
    <w:rsid w:val="00230A52"/>
    <w:rsid w:val="00232C9A"/>
    <w:rsid w:val="00244591"/>
    <w:rsid w:val="002629AD"/>
    <w:rsid w:val="00290D30"/>
    <w:rsid w:val="0029310F"/>
    <w:rsid w:val="002C31C5"/>
    <w:rsid w:val="002F6E87"/>
    <w:rsid w:val="003078CB"/>
    <w:rsid w:val="00314C94"/>
    <w:rsid w:val="00377ADF"/>
    <w:rsid w:val="003849DE"/>
    <w:rsid w:val="00385D3C"/>
    <w:rsid w:val="003B4C40"/>
    <w:rsid w:val="003D5795"/>
    <w:rsid w:val="00450937"/>
    <w:rsid w:val="00450B6E"/>
    <w:rsid w:val="00451888"/>
    <w:rsid w:val="004D6BBC"/>
    <w:rsid w:val="004D76DA"/>
    <w:rsid w:val="004F1412"/>
    <w:rsid w:val="004F593C"/>
    <w:rsid w:val="00500B70"/>
    <w:rsid w:val="00501218"/>
    <w:rsid w:val="00502996"/>
    <w:rsid w:val="005111D2"/>
    <w:rsid w:val="00571FC9"/>
    <w:rsid w:val="00591448"/>
    <w:rsid w:val="005F306A"/>
    <w:rsid w:val="00600FB1"/>
    <w:rsid w:val="006115DD"/>
    <w:rsid w:val="006276BA"/>
    <w:rsid w:val="00642858"/>
    <w:rsid w:val="00662212"/>
    <w:rsid w:val="00666ACA"/>
    <w:rsid w:val="006B34D4"/>
    <w:rsid w:val="006D0074"/>
    <w:rsid w:val="006D54F0"/>
    <w:rsid w:val="006E3E60"/>
    <w:rsid w:val="006F348F"/>
    <w:rsid w:val="00734E4A"/>
    <w:rsid w:val="00746FA4"/>
    <w:rsid w:val="00770DDE"/>
    <w:rsid w:val="007A56C6"/>
    <w:rsid w:val="007C0D80"/>
    <w:rsid w:val="007C7C77"/>
    <w:rsid w:val="00820203"/>
    <w:rsid w:val="00820959"/>
    <w:rsid w:val="00825D37"/>
    <w:rsid w:val="0088561D"/>
    <w:rsid w:val="0089216B"/>
    <w:rsid w:val="00897D8E"/>
    <w:rsid w:val="008B6AF7"/>
    <w:rsid w:val="008D35DE"/>
    <w:rsid w:val="00931C1E"/>
    <w:rsid w:val="009871D6"/>
    <w:rsid w:val="00995D65"/>
    <w:rsid w:val="009C4F2B"/>
    <w:rsid w:val="009E4DF3"/>
    <w:rsid w:val="00A30537"/>
    <w:rsid w:val="00A510D9"/>
    <w:rsid w:val="00A7330A"/>
    <w:rsid w:val="00A74288"/>
    <w:rsid w:val="00A7725D"/>
    <w:rsid w:val="00A960ED"/>
    <w:rsid w:val="00AB27F4"/>
    <w:rsid w:val="00AE68F8"/>
    <w:rsid w:val="00B73355"/>
    <w:rsid w:val="00B80A54"/>
    <w:rsid w:val="00B87FB0"/>
    <w:rsid w:val="00BB0FDE"/>
    <w:rsid w:val="00BB63E4"/>
    <w:rsid w:val="00BE11EB"/>
    <w:rsid w:val="00C03D77"/>
    <w:rsid w:val="00C13445"/>
    <w:rsid w:val="00C41167"/>
    <w:rsid w:val="00C6407E"/>
    <w:rsid w:val="00CA719F"/>
    <w:rsid w:val="00CD47CC"/>
    <w:rsid w:val="00CE2C79"/>
    <w:rsid w:val="00D15695"/>
    <w:rsid w:val="00D15F16"/>
    <w:rsid w:val="00D408F2"/>
    <w:rsid w:val="00DB3C52"/>
    <w:rsid w:val="00DC19F3"/>
    <w:rsid w:val="00DF6030"/>
    <w:rsid w:val="00E05663"/>
    <w:rsid w:val="00E17C8D"/>
    <w:rsid w:val="00E2611E"/>
    <w:rsid w:val="00E318C3"/>
    <w:rsid w:val="00E44AF9"/>
    <w:rsid w:val="00E62C9A"/>
    <w:rsid w:val="00E86815"/>
    <w:rsid w:val="00E87B88"/>
    <w:rsid w:val="00EA03D9"/>
    <w:rsid w:val="00EA2A17"/>
    <w:rsid w:val="00F00B9E"/>
    <w:rsid w:val="00F02A28"/>
    <w:rsid w:val="00F66197"/>
    <w:rsid w:val="00F83B9B"/>
    <w:rsid w:val="00FA2E53"/>
    <w:rsid w:val="00FB1B11"/>
    <w:rsid w:val="00FD0DF1"/>
    <w:rsid w:val="00FD0EA3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E3CD"/>
  <w15:docId w15:val="{66FE4F59-CF12-41A5-94C7-710572E4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BAC0-00C0-42E2-92B8-4D79D747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3937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7</cp:revision>
  <cp:lastPrinted>2015-08-31T08:20:00Z</cp:lastPrinted>
  <dcterms:created xsi:type="dcterms:W3CDTF">2015-09-02T13:10:00Z</dcterms:created>
  <dcterms:modified xsi:type="dcterms:W3CDTF">2015-10-13T11:37:00Z</dcterms:modified>
</cp:coreProperties>
</file>