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9DD6" w14:textId="78967BE4" w:rsidR="006A5A15" w:rsidRPr="005E4980" w:rsidRDefault="006A5A15" w:rsidP="00897466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1FD6079E" w14:textId="77777777" w:rsidR="006A5A15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4A797E72" wp14:editId="31F4B58E">
            <wp:extent cx="2403802" cy="627797"/>
            <wp:effectExtent l="0" t="0" r="0" b="127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39" cy="6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E8F3" w14:textId="396243C7" w:rsidR="006A5A15" w:rsidRPr="005E43E0" w:rsidRDefault="00906D96" w:rsidP="005E43E0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Rámcová dohoda</w:t>
      </w:r>
      <w:r w:rsidR="006A5A15">
        <w:rPr>
          <w:rFonts w:ascii="Times New Roman" w:hAnsi="Times New Roman" w:cs="Times New Roman"/>
        </w:rPr>
        <w:t xml:space="preserve"> o dodání zboží</w:t>
      </w:r>
      <w:r w:rsidR="006A5A15" w:rsidRPr="00CC13D6">
        <w:rPr>
          <w:rFonts w:ascii="Times New Roman" w:hAnsi="Times New Roman" w:cs="Times New Roman"/>
        </w:rPr>
        <w:br/>
      </w:r>
      <w:r w:rsidR="006A5A15" w:rsidRPr="00CC13D6">
        <w:rPr>
          <w:rFonts w:ascii="Times New Roman" w:hAnsi="Times New Roman" w:cs="Times New Roman"/>
          <w:b w:val="0"/>
          <w:sz w:val="24"/>
          <w:szCs w:val="24"/>
        </w:rPr>
        <w:t xml:space="preserve">uzavřená podle </w:t>
      </w:r>
      <w:r w:rsidR="006A5A15">
        <w:rPr>
          <w:rFonts w:ascii="Times New Roman" w:hAnsi="Times New Roman" w:cs="Times New Roman"/>
          <w:b w:val="0"/>
          <w:sz w:val="24"/>
          <w:szCs w:val="24"/>
        </w:rPr>
        <w:t>§ 1746 odst. 2 zákona č. 89/2012 Sb., občanský zákoník ve znění pozdějších předpisů</w:t>
      </w:r>
    </w:p>
    <w:p w14:paraId="186BA718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74F5FE16" w14:textId="77777777"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1C217EF1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4C0F9B39" w14:textId="36E19509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>,</w:t>
      </w:r>
      <w:r w:rsidR="00AA4F1C">
        <w:rPr>
          <w:sz w:val="22"/>
          <w:szCs w:val="22"/>
        </w:rPr>
        <w:t xml:space="preserve"> MBA</w:t>
      </w:r>
      <w:r w:rsidR="008744DA">
        <w:rPr>
          <w:sz w:val="22"/>
          <w:szCs w:val="22"/>
        </w:rPr>
        <w:t>,</w:t>
      </w:r>
      <w:r w:rsidRPr="00CC13D6">
        <w:rPr>
          <w:sz w:val="22"/>
          <w:szCs w:val="22"/>
        </w:rPr>
        <w:t xml:space="preserve"> </w:t>
      </w:r>
      <w:r>
        <w:rPr>
          <w:sz w:val="22"/>
          <w:szCs w:val="22"/>
        </w:rPr>
        <w:t>ústředním školním inspektorem</w:t>
      </w:r>
    </w:p>
    <w:p w14:paraId="0DC2B1FA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01327640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07EF3218" w14:textId="77777777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477C77">
        <w:rPr>
          <w:sz w:val="22"/>
          <w:szCs w:val="22"/>
        </w:rPr>
        <w:t>Bc. Kamil Melichárek</w:t>
      </w:r>
    </w:p>
    <w:p w14:paraId="7E618913" w14:textId="5FC8EEE4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</w:t>
      </w:r>
      <w:r w:rsidR="00477C77">
        <w:rPr>
          <w:sz w:val="22"/>
          <w:szCs w:val="22"/>
        </w:rPr>
        <w:t>225</w:t>
      </w:r>
      <w:r w:rsidRPr="004E215A">
        <w:rPr>
          <w:sz w:val="22"/>
          <w:szCs w:val="22"/>
        </w:rPr>
        <w:t xml:space="preserve"> </w:t>
      </w:r>
    </w:p>
    <w:p w14:paraId="7ED498BE" w14:textId="77777777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9" w:history="1">
        <w:r w:rsidR="00477C77" w:rsidRPr="00966D43">
          <w:rPr>
            <w:rStyle w:val="Hypertextovodkaz"/>
            <w:sz w:val="22"/>
            <w:szCs w:val="22"/>
          </w:rPr>
          <w:t>kamil.melicharek@csicr.cz</w:t>
        </w:r>
      </w:hyperlink>
    </w:p>
    <w:p w14:paraId="3CF4BCC4" w14:textId="77777777" w:rsidR="00477C77" w:rsidRDefault="00477C77" w:rsidP="006A5A15">
      <w:pPr>
        <w:spacing w:before="0"/>
        <w:ind w:left="2552" w:hanging="2552"/>
        <w:rPr>
          <w:sz w:val="22"/>
          <w:szCs w:val="22"/>
        </w:rPr>
      </w:pPr>
    </w:p>
    <w:p w14:paraId="13FA7BE7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701873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14:paraId="6666AAD9" w14:textId="77777777"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0BB53415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419BB6A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0DBB519B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636637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4F9313B0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58673502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0A69610D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07BCE29A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744DEE3B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14:paraId="6CB947CA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B04020D" w14:textId="7EF1FE17" w:rsidR="006A5A15" w:rsidRDefault="006A5A15" w:rsidP="006A5A15">
      <w:pPr>
        <w:pStyle w:val="Odstavecseseznamem1"/>
        <w:widowControl w:val="0"/>
        <w:tabs>
          <w:tab w:val="left" w:pos="709"/>
        </w:tabs>
        <w:ind w:left="0"/>
      </w:pPr>
      <w:r w:rsidRPr="00CC13D6">
        <w:t xml:space="preserve">Tato </w:t>
      </w:r>
      <w:r>
        <w:t xml:space="preserve">rámcová </w:t>
      </w:r>
      <w:r w:rsidR="00906D96">
        <w:t>dohoda</w:t>
      </w:r>
      <w:r w:rsidRPr="00CC13D6">
        <w:t xml:space="preserve"> byla uzavřena s vybraným </w:t>
      </w:r>
      <w:r w:rsidR="00372FFB">
        <w:t>účastníkem</w:t>
      </w:r>
      <w:r w:rsidRPr="00CC13D6">
        <w:t xml:space="preserve"> na základě za</w:t>
      </w:r>
      <w:r w:rsidR="00884D7C">
        <w:t>dávacího řízení veřejné zakázky „</w:t>
      </w:r>
      <w:r w:rsidR="00D22386" w:rsidRPr="00A12A1F">
        <w:rPr>
          <w:b/>
        </w:rPr>
        <w:t>Obnova uživ</w:t>
      </w:r>
      <w:r w:rsidR="00884D7C" w:rsidRPr="00A12A1F">
        <w:rPr>
          <w:b/>
        </w:rPr>
        <w:t>atelské techniky ICT</w:t>
      </w:r>
      <w:r w:rsidR="000112C5" w:rsidRPr="00A12A1F">
        <w:rPr>
          <w:b/>
        </w:rPr>
        <w:t xml:space="preserve"> 201</w:t>
      </w:r>
      <w:r w:rsidR="008744DA" w:rsidRPr="00A12A1F">
        <w:rPr>
          <w:b/>
        </w:rPr>
        <w:t>9</w:t>
      </w:r>
      <w:r w:rsidR="00884D7C">
        <w:t>“</w:t>
      </w:r>
      <w:r w:rsidR="001E6887">
        <w:t xml:space="preserve"> </w:t>
      </w:r>
      <w:r w:rsidRPr="00CC13D6">
        <w:t xml:space="preserve">zadané </w:t>
      </w:r>
      <w:r w:rsidRPr="002872D5">
        <w:t>objednatelem</w:t>
      </w:r>
      <w:r w:rsidRPr="00CC13D6">
        <w:rPr>
          <w:color w:val="A6A6A6"/>
        </w:rPr>
        <w:t xml:space="preserve"> </w:t>
      </w:r>
      <w:r w:rsidRPr="00CC13D6">
        <w:t>jako zadavatelem (dále „zakázka“).</w:t>
      </w:r>
    </w:p>
    <w:p w14:paraId="03CF7555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48D4F1BB" w14:textId="3686CE48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</w:t>
      </w:r>
      <w:r>
        <w:t xml:space="preserve">rámcovou </w:t>
      </w:r>
      <w:r w:rsidR="003F1665">
        <w:t>dohod</w:t>
      </w:r>
      <w:r w:rsidRPr="002872D5">
        <w:t xml:space="preserve">ou řádně dodat předmět plnění. </w:t>
      </w:r>
    </w:p>
    <w:p w14:paraId="717111B6" w14:textId="7C712A77" w:rsidR="003B693B" w:rsidRPr="004C7F88" w:rsidRDefault="001E6887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Předmětem plnění j</w:t>
      </w:r>
      <w:r w:rsidR="00A45C29">
        <w:t>sou</w:t>
      </w:r>
      <w:r>
        <w:t xml:space="preserve"> </w:t>
      </w:r>
      <w:r w:rsidR="006A5A15" w:rsidRPr="001E6887">
        <w:rPr>
          <w:color w:val="000000"/>
        </w:rPr>
        <w:t>dodávk</w:t>
      </w:r>
      <w:r w:rsidR="00A45C29">
        <w:rPr>
          <w:color w:val="000000"/>
        </w:rPr>
        <w:t>y:</w:t>
      </w:r>
    </w:p>
    <w:p w14:paraId="3C7B4DC7" w14:textId="0ECEF43D" w:rsidR="00A45C29" w:rsidRDefault="003B693B" w:rsidP="006F05BB">
      <w:pPr>
        <w:pStyle w:val="Odstavecseseznamem1"/>
        <w:widowControl w:val="0"/>
        <w:numPr>
          <w:ilvl w:val="1"/>
          <w:numId w:val="3"/>
        </w:numPr>
        <w:tabs>
          <w:tab w:val="left" w:pos="709"/>
        </w:tabs>
        <w:contextualSpacing w:val="0"/>
        <w:rPr>
          <w:color w:val="000000"/>
        </w:rPr>
      </w:pPr>
      <w:r w:rsidRPr="008E7204">
        <w:rPr>
          <w:color w:val="000000"/>
        </w:rPr>
        <w:t>1</w:t>
      </w:r>
      <w:r w:rsidR="00372FFB" w:rsidRPr="008E7204">
        <w:rPr>
          <w:color w:val="000000"/>
        </w:rPr>
        <w:t>5</w:t>
      </w:r>
      <w:r w:rsidR="00A45C29" w:rsidRPr="003B693B">
        <w:rPr>
          <w:color w:val="000000"/>
        </w:rPr>
        <w:t xml:space="preserve"> ks 12“</w:t>
      </w:r>
      <w:r w:rsidR="006A5A15" w:rsidRPr="003B693B">
        <w:rPr>
          <w:color w:val="000000"/>
        </w:rPr>
        <w:t xml:space="preserve"> notebooků včetně operačních systém</w:t>
      </w:r>
      <w:r w:rsidR="001E6887" w:rsidRPr="003B693B">
        <w:rPr>
          <w:color w:val="000000"/>
        </w:rPr>
        <w:t>ů</w:t>
      </w:r>
      <w:r w:rsidR="00A45C29" w:rsidRPr="003B693B">
        <w:rPr>
          <w:color w:val="000000"/>
        </w:rPr>
        <w:t>,</w:t>
      </w:r>
    </w:p>
    <w:p w14:paraId="347C7784" w14:textId="7BB69C39" w:rsidR="00107A9B" w:rsidRDefault="00107A9B" w:rsidP="006F05BB">
      <w:pPr>
        <w:pStyle w:val="Odstavecseseznamem1"/>
        <w:widowControl w:val="0"/>
        <w:numPr>
          <w:ilvl w:val="1"/>
          <w:numId w:val="3"/>
        </w:numPr>
        <w:tabs>
          <w:tab w:val="left" w:pos="709"/>
        </w:tabs>
        <w:contextualSpacing w:val="0"/>
        <w:rPr>
          <w:color w:val="000000"/>
        </w:rPr>
      </w:pPr>
      <w:r>
        <w:rPr>
          <w:color w:val="000000"/>
        </w:rPr>
        <w:t>1 ks Chromebook</w:t>
      </w:r>
    </w:p>
    <w:p w14:paraId="67B084D2" w14:textId="591244AC" w:rsidR="003B693B" w:rsidRDefault="003B693B" w:rsidP="006F05BB">
      <w:pPr>
        <w:pStyle w:val="Odstavecseseznamem1"/>
        <w:widowControl w:val="0"/>
        <w:numPr>
          <w:ilvl w:val="1"/>
          <w:numId w:val="3"/>
        </w:numPr>
        <w:tabs>
          <w:tab w:val="left" w:pos="709"/>
        </w:tabs>
        <w:contextualSpacing w:val="0"/>
        <w:rPr>
          <w:color w:val="000000"/>
        </w:rPr>
      </w:pPr>
      <w:r>
        <w:rPr>
          <w:color w:val="000000"/>
        </w:rPr>
        <w:t>10 ks stolních počítačů,</w:t>
      </w:r>
    </w:p>
    <w:p w14:paraId="2CE1658F" w14:textId="0DBB6870" w:rsidR="003B693B" w:rsidRDefault="003B693B" w:rsidP="006F05BB">
      <w:pPr>
        <w:pStyle w:val="Odstavecseseznamem1"/>
        <w:widowControl w:val="0"/>
        <w:numPr>
          <w:ilvl w:val="1"/>
          <w:numId w:val="3"/>
        </w:numPr>
        <w:tabs>
          <w:tab w:val="left" w:pos="709"/>
        </w:tabs>
        <w:contextualSpacing w:val="0"/>
        <w:rPr>
          <w:color w:val="000000"/>
        </w:rPr>
      </w:pPr>
      <w:r>
        <w:rPr>
          <w:color w:val="000000"/>
        </w:rPr>
        <w:t>400 ks 24“ LCD monitorů</w:t>
      </w:r>
    </w:p>
    <w:p w14:paraId="41B16F7D" w14:textId="313CB047" w:rsidR="006A5A15" w:rsidRPr="002872D5" w:rsidRDefault="003B693B" w:rsidP="006F05BB">
      <w:pPr>
        <w:pStyle w:val="Odstavecseseznamem1"/>
        <w:widowControl w:val="0"/>
        <w:numPr>
          <w:ilvl w:val="1"/>
          <w:numId w:val="3"/>
        </w:numPr>
        <w:tabs>
          <w:tab w:val="left" w:pos="709"/>
        </w:tabs>
        <w:contextualSpacing w:val="0"/>
      </w:pPr>
      <w:r>
        <w:rPr>
          <w:color w:val="000000"/>
        </w:rPr>
        <w:t>5 ks tiskáren</w:t>
      </w:r>
    </w:p>
    <w:p w14:paraId="4F0ED3A5" w14:textId="5D9E0F6D" w:rsidR="00687455" w:rsidRDefault="0068745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P</w:t>
      </w:r>
      <w:r w:rsidRPr="001E6887">
        <w:rPr>
          <w:color w:val="000000"/>
        </w:rPr>
        <w:t>ředmět plnění je dále specifikován v </w:t>
      </w:r>
      <w:r w:rsidR="003F1665">
        <w:rPr>
          <w:color w:val="000000"/>
        </w:rPr>
        <w:t>příloze č. 1 této rámcové dohod</w:t>
      </w:r>
      <w:r w:rsidRPr="001E6887">
        <w:rPr>
          <w:color w:val="000000"/>
        </w:rPr>
        <w:t>y.</w:t>
      </w:r>
    </w:p>
    <w:p w14:paraId="06DA347E" w14:textId="150D9192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uhradit mu ce</w:t>
      </w:r>
      <w:r w:rsidR="003F1665">
        <w:t>nu dle čl. 5 této rámcové dohod</w:t>
      </w:r>
      <w:r>
        <w:t>y.</w:t>
      </w:r>
    </w:p>
    <w:p w14:paraId="7C1C6730" w14:textId="1954F074" w:rsidR="006A5A15" w:rsidRPr="00412F3E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412F3E">
        <w:t xml:space="preserve">Zjistí-li dodavatel při plnění </w:t>
      </w:r>
      <w:r>
        <w:t xml:space="preserve">rámcové </w:t>
      </w:r>
      <w:r w:rsidR="00BD6488">
        <w:t>dohod</w:t>
      </w:r>
      <w:r w:rsidRPr="00412F3E">
        <w:t xml:space="preserve">y důvody pro úpravu předmětu plnění, je povinen bezodkladně písemně informovat objednatele a navrhnout dodatek k této </w:t>
      </w:r>
      <w:r>
        <w:t xml:space="preserve">rámcové </w:t>
      </w:r>
      <w:r w:rsidR="00BD6488">
        <w:t>dohod</w:t>
      </w:r>
      <w:r w:rsidRPr="00412F3E">
        <w:t xml:space="preserve">ě. Není-li objednatelem stanoveno jinak, úpravy předmětu plnění dodavatel při plnění zohlední až na základě účinného písemného dodatku k této </w:t>
      </w:r>
      <w:r>
        <w:t xml:space="preserve">rámcové </w:t>
      </w:r>
      <w:r w:rsidR="00BD6488">
        <w:t>dohod</w:t>
      </w:r>
      <w:r w:rsidRPr="00412F3E">
        <w:t>ě. Pokud tak dodavatel neučiní, má se za to, že práce a dodávky jím provedené byly v předmětu díla a v jeho ceně zahrnuty.</w:t>
      </w:r>
    </w:p>
    <w:p w14:paraId="68AF9D16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342A508D" w14:textId="0025AFBD" w:rsidR="009E7DB9" w:rsidRDefault="00BD6488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Rámcová dohod</w:t>
      </w:r>
      <w:r w:rsidR="009E7DB9">
        <w:t>a je uzavřena na dobu určitou do</w:t>
      </w:r>
      <w:r w:rsidR="00884D7C">
        <w:t xml:space="preserve"> </w:t>
      </w:r>
      <w:r w:rsidR="006A13B6" w:rsidRPr="004C7F88">
        <w:rPr>
          <w:b/>
        </w:rPr>
        <w:t>27</w:t>
      </w:r>
      <w:r w:rsidR="00884D7C" w:rsidRPr="004C7F88">
        <w:rPr>
          <w:b/>
        </w:rPr>
        <w:t>. 2. 20</w:t>
      </w:r>
      <w:r w:rsidR="001D2053">
        <w:rPr>
          <w:b/>
        </w:rPr>
        <w:t>20</w:t>
      </w:r>
      <w:r w:rsidR="00F80C1D">
        <w:t>.</w:t>
      </w:r>
    </w:p>
    <w:p w14:paraId="5660F8DA" w14:textId="65D6444B"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 xml:space="preserve">Místem plnění </w:t>
      </w:r>
      <w:r w:rsidR="009E7DB9">
        <w:t>zakázky dodané na základě</w:t>
      </w:r>
      <w:r w:rsidR="00BD6488">
        <w:t xml:space="preserve"> rámcové dohod</w:t>
      </w:r>
      <w:r w:rsidR="009E7DB9">
        <w:t xml:space="preserve">y </w:t>
      </w:r>
      <w:r w:rsidRPr="00CC13D6">
        <w:t>je</w:t>
      </w:r>
      <w:r w:rsidRPr="00CC13D6">
        <w:rPr>
          <w:i/>
        </w:rPr>
        <w:t xml:space="preserve"> </w:t>
      </w:r>
      <w:r w:rsidRPr="00D82028">
        <w:t>sídlo objednatele.</w:t>
      </w:r>
    </w:p>
    <w:p w14:paraId="6137B5E9" w14:textId="53E28653" w:rsidR="006A5A15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Plnění bude probíhat na základě samostatných objedn</w:t>
      </w:r>
      <w:r w:rsidR="00F9376C">
        <w:t>ávek</w:t>
      </w:r>
      <w:r w:rsidR="00A2121E">
        <w:t xml:space="preserve">. Plnění bude </w:t>
      </w:r>
      <w:r>
        <w:t>dokončeno do</w:t>
      </w:r>
      <w:r w:rsidR="00410DCC">
        <w:t> </w:t>
      </w:r>
      <w:r w:rsidR="00A67A42">
        <w:t>20</w:t>
      </w:r>
      <w:r>
        <w:t xml:space="preserve"> dnů od doručení objednávky.</w:t>
      </w:r>
    </w:p>
    <w:p w14:paraId="314A8902" w14:textId="1FDC8823"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to ve</w:t>
      </w:r>
      <w:r w:rsidR="00410DCC">
        <w:t> </w:t>
      </w:r>
      <w:r w:rsidRPr="00445482">
        <w:t xml:space="preserve">stavu podle požadavků této </w:t>
      </w:r>
      <w:r>
        <w:t xml:space="preserve">rámcové </w:t>
      </w:r>
      <w:r w:rsidR="00BD6488">
        <w:t>dohod</w:t>
      </w:r>
      <w:r w:rsidRPr="00445482">
        <w:t xml:space="preserve">y, právních předpisů, bez vad a nedodělků. O předání a  převzetí sepíšou dodavatel a objednatel protokol podepsaný osobami oprávněnými je zastupovat. Dílo musí být splněno nejpozději </w:t>
      </w:r>
      <w:r w:rsidRPr="004E215A">
        <w:t xml:space="preserve">do </w:t>
      </w:r>
      <w:r w:rsidR="000750D0" w:rsidRPr="004C7F88">
        <w:rPr>
          <w:b/>
        </w:rPr>
        <w:t>27</w:t>
      </w:r>
      <w:r w:rsidR="002431E2" w:rsidRPr="004C7F88">
        <w:rPr>
          <w:b/>
        </w:rPr>
        <w:t>.</w:t>
      </w:r>
      <w:r w:rsidR="00F267CF" w:rsidRPr="004C7F88">
        <w:rPr>
          <w:b/>
        </w:rPr>
        <w:t xml:space="preserve"> 2. 20</w:t>
      </w:r>
      <w:r w:rsidR="001D2053">
        <w:rPr>
          <w:b/>
        </w:rPr>
        <w:t>20</w:t>
      </w:r>
      <w:r w:rsidRPr="00F80C1D">
        <w:t>.</w:t>
      </w:r>
    </w:p>
    <w:p w14:paraId="15747D54" w14:textId="58852182" w:rsidR="00560F2E" w:rsidRPr="00F12347" w:rsidRDefault="006A5A15" w:rsidP="00B40AB9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14:paraId="50555818" w14:textId="77777777" w:rsidR="006A5A15" w:rsidRPr="00CC13D6" w:rsidRDefault="006A5A15" w:rsidP="00B40AB9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F113E4A" w14:textId="2485B4A5" w:rsidR="009D2C54" w:rsidRDefault="006A5A15" w:rsidP="004C7F88">
      <w:pPr>
        <w:pStyle w:val="Odstavecseseznamem1"/>
        <w:keepNext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</w:t>
      </w:r>
      <w:r w:rsidR="009D2C54">
        <w:t>ena plnění</w:t>
      </w:r>
      <w:r w:rsidR="004C7F88">
        <w:t xml:space="preserve"> za ks</w:t>
      </w:r>
      <w:r w:rsidR="009D2C54">
        <w:t xml:space="preserve">: </w:t>
      </w: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95"/>
        <w:gridCol w:w="1751"/>
        <w:gridCol w:w="683"/>
        <w:gridCol w:w="1875"/>
      </w:tblGrid>
      <w:tr w:rsidR="004C7F88" w:rsidRPr="00E13FF0" w14:paraId="77F1ADC7" w14:textId="77777777" w:rsidTr="00254BD9">
        <w:tc>
          <w:tcPr>
            <w:tcW w:w="1413" w:type="dxa"/>
            <w:shd w:val="clear" w:color="auto" w:fill="0073CF"/>
          </w:tcPr>
          <w:p w14:paraId="2A68D727" w14:textId="05F496CF" w:rsidR="004C7F88" w:rsidRPr="00E13FF0" w:rsidRDefault="004C7F88" w:rsidP="00B40AB9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Předmět plnění</w:t>
            </w:r>
          </w:p>
        </w:tc>
        <w:tc>
          <w:tcPr>
            <w:tcW w:w="2495" w:type="dxa"/>
            <w:shd w:val="clear" w:color="auto" w:fill="0073CF"/>
          </w:tcPr>
          <w:p w14:paraId="459B8D6B" w14:textId="165A4A06" w:rsidR="004C7F88" w:rsidRPr="00E13FF0" w:rsidRDefault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Typové označení</w:t>
            </w:r>
          </w:p>
        </w:tc>
        <w:tc>
          <w:tcPr>
            <w:tcW w:w="1751" w:type="dxa"/>
            <w:shd w:val="clear" w:color="auto" w:fill="0073CF"/>
          </w:tcPr>
          <w:p w14:paraId="1312B5C8" w14:textId="7A0C93BA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v Kč </w:t>
            </w:r>
            <w:r w:rsidRPr="00E13FF0">
              <w:rPr>
                <w:b/>
                <w:color w:val="FFFFFF" w:themeColor="background1"/>
                <w:sz w:val="20"/>
                <w:szCs w:val="20"/>
              </w:rPr>
              <w:t>bez DPH</w:t>
            </w:r>
            <w:r w:rsidR="0036209F">
              <w:rPr>
                <w:b/>
                <w:color w:val="FFFFFF" w:themeColor="background1"/>
                <w:sz w:val="20"/>
                <w:szCs w:val="20"/>
              </w:rPr>
              <w:t xml:space="preserve"> za ks</w:t>
            </w:r>
          </w:p>
        </w:tc>
        <w:tc>
          <w:tcPr>
            <w:tcW w:w="683" w:type="dxa"/>
            <w:shd w:val="clear" w:color="auto" w:fill="0073CF"/>
          </w:tcPr>
          <w:p w14:paraId="4FD47F7D" w14:textId="61CCC491" w:rsidR="004C7F88" w:rsidRPr="00E13FF0" w:rsidRDefault="00461001" w:rsidP="0046100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Počet ks</w:t>
            </w:r>
          </w:p>
        </w:tc>
        <w:tc>
          <w:tcPr>
            <w:tcW w:w="1875" w:type="dxa"/>
            <w:shd w:val="clear" w:color="auto" w:fill="0073CF"/>
          </w:tcPr>
          <w:p w14:paraId="262BC357" w14:textId="5F18CB2B" w:rsidR="004C7F88" w:rsidRPr="00E13FF0" w:rsidRDefault="004C7F88" w:rsidP="00510539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v Kč </w:t>
            </w:r>
            <w:r w:rsidR="0036209F">
              <w:rPr>
                <w:b/>
                <w:color w:val="FFFFFF" w:themeColor="background1"/>
                <w:sz w:val="20"/>
                <w:szCs w:val="20"/>
              </w:rPr>
              <w:t>bez</w:t>
            </w:r>
            <w:r w:rsidRPr="00E13FF0">
              <w:rPr>
                <w:b/>
                <w:color w:val="FFFFFF" w:themeColor="background1"/>
                <w:sz w:val="20"/>
                <w:szCs w:val="20"/>
              </w:rPr>
              <w:t xml:space="preserve"> DPH</w:t>
            </w:r>
            <w:r w:rsidR="0036209F">
              <w:rPr>
                <w:b/>
                <w:color w:val="FFFFFF" w:themeColor="background1"/>
                <w:sz w:val="20"/>
                <w:szCs w:val="20"/>
              </w:rPr>
              <w:t xml:space="preserve"> celkem</w:t>
            </w:r>
          </w:p>
        </w:tc>
      </w:tr>
      <w:tr w:rsidR="004C7F88" w:rsidRPr="00E13FF0" w14:paraId="5057848F" w14:textId="77777777" w:rsidTr="00254BD9">
        <w:tc>
          <w:tcPr>
            <w:tcW w:w="1413" w:type="dxa"/>
            <w:vAlign w:val="center"/>
          </w:tcPr>
          <w:p w14:paraId="0DA4AEF2" w14:textId="2B4EC15A" w:rsidR="004C7F88" w:rsidRPr="00CE6AC4" w:rsidRDefault="004C7F88" w:rsidP="004C7F88">
            <w:pPr>
              <w:keepNext/>
              <w:keepLines/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CE6AC4">
              <w:rPr>
                <w:color w:val="000000"/>
                <w:sz w:val="22"/>
                <w:szCs w:val="22"/>
              </w:rPr>
              <w:t>12“ notebook</w:t>
            </w:r>
          </w:p>
        </w:tc>
        <w:tc>
          <w:tcPr>
            <w:tcW w:w="2495" w:type="dxa"/>
          </w:tcPr>
          <w:p w14:paraId="6DE31881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01D832F0" w14:textId="628043A6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</w:tcPr>
          <w:p w14:paraId="5E26DD6E" w14:textId="563942EC" w:rsidR="004C7F88" w:rsidRPr="00E13FF0" w:rsidRDefault="00CE6AC4" w:rsidP="00CE6AC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75" w:type="dxa"/>
          </w:tcPr>
          <w:p w14:paraId="1409A04E" w14:textId="0BF6FE0E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243C1B" w:rsidRPr="00E13FF0" w14:paraId="19CE4B7D" w14:textId="77777777" w:rsidTr="00254BD9">
        <w:tc>
          <w:tcPr>
            <w:tcW w:w="1413" w:type="dxa"/>
            <w:vAlign w:val="center"/>
          </w:tcPr>
          <w:p w14:paraId="185EC04F" w14:textId="15640D62" w:rsidR="00243C1B" w:rsidRPr="00CE6AC4" w:rsidRDefault="00243C1B" w:rsidP="004C7F88">
            <w:pPr>
              <w:keepNext/>
              <w:keepLines/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CE6AC4">
              <w:rPr>
                <w:color w:val="000000"/>
                <w:sz w:val="22"/>
                <w:szCs w:val="22"/>
              </w:rPr>
              <w:t>Chromebook</w:t>
            </w:r>
          </w:p>
        </w:tc>
        <w:tc>
          <w:tcPr>
            <w:tcW w:w="2495" w:type="dxa"/>
          </w:tcPr>
          <w:p w14:paraId="06045DBC" w14:textId="77777777" w:rsidR="00243C1B" w:rsidRPr="00E13FF0" w:rsidRDefault="00243C1B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708CB043" w14:textId="77777777" w:rsidR="00243C1B" w:rsidRPr="00E13FF0" w:rsidRDefault="00243C1B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</w:tcPr>
          <w:p w14:paraId="6052F8AB" w14:textId="6FEBA54A" w:rsidR="00243C1B" w:rsidRPr="00E13FF0" w:rsidRDefault="00CE6AC4" w:rsidP="00CE6AC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</w:tcPr>
          <w:p w14:paraId="6A1A9B8C" w14:textId="77777777" w:rsidR="00243C1B" w:rsidRPr="00E13FF0" w:rsidRDefault="00243C1B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8E7204" w:rsidRPr="00E13FF0" w14:paraId="3E8C59A2" w14:textId="77777777" w:rsidTr="00254BD9">
        <w:tc>
          <w:tcPr>
            <w:tcW w:w="1413" w:type="dxa"/>
            <w:vAlign w:val="center"/>
          </w:tcPr>
          <w:p w14:paraId="488552F1" w14:textId="749E0F64" w:rsidR="008E7204" w:rsidRPr="00CE6AC4" w:rsidRDefault="008E7204" w:rsidP="008E7204">
            <w:pPr>
              <w:keepNext/>
              <w:keepLines/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CE6AC4">
              <w:rPr>
                <w:color w:val="000000"/>
                <w:sz w:val="22"/>
                <w:szCs w:val="22"/>
              </w:rPr>
              <w:t>stolní počítač</w:t>
            </w:r>
          </w:p>
        </w:tc>
        <w:tc>
          <w:tcPr>
            <w:tcW w:w="2495" w:type="dxa"/>
          </w:tcPr>
          <w:p w14:paraId="18C2EA53" w14:textId="77777777" w:rsidR="008E7204" w:rsidRPr="00E13FF0" w:rsidRDefault="008E7204" w:rsidP="008E720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3DCBBE18" w14:textId="1A90BBF2" w:rsidR="008E7204" w:rsidRPr="00E13FF0" w:rsidRDefault="008E7204" w:rsidP="008E720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</w:tcPr>
          <w:p w14:paraId="4C4870B1" w14:textId="09842A43" w:rsidR="008E7204" w:rsidRPr="00E13FF0" w:rsidRDefault="00CE6AC4" w:rsidP="00CE6AC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75" w:type="dxa"/>
          </w:tcPr>
          <w:p w14:paraId="12180534" w14:textId="19C23779" w:rsidR="008E7204" w:rsidRPr="00E13FF0" w:rsidRDefault="008E7204" w:rsidP="008E720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8E7204" w:rsidRPr="00E13FF0" w14:paraId="5E284535" w14:textId="77777777" w:rsidTr="00254BD9">
        <w:trPr>
          <w:trHeight w:val="521"/>
        </w:trPr>
        <w:tc>
          <w:tcPr>
            <w:tcW w:w="1413" w:type="dxa"/>
            <w:vAlign w:val="center"/>
          </w:tcPr>
          <w:p w14:paraId="2957691B" w14:textId="019489C5" w:rsidR="008E7204" w:rsidRPr="00CE6AC4" w:rsidRDefault="008E7204" w:rsidP="008E7204">
            <w:pPr>
              <w:keepNext/>
              <w:keepLines/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CE6AC4">
              <w:rPr>
                <w:color w:val="000000"/>
                <w:sz w:val="22"/>
                <w:szCs w:val="22"/>
              </w:rPr>
              <w:t>24“ LCD monitor</w:t>
            </w:r>
          </w:p>
        </w:tc>
        <w:tc>
          <w:tcPr>
            <w:tcW w:w="2495" w:type="dxa"/>
          </w:tcPr>
          <w:p w14:paraId="1DE53069" w14:textId="77777777" w:rsidR="008E7204" w:rsidRPr="00E13FF0" w:rsidRDefault="008E7204" w:rsidP="008E720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1967EEB4" w14:textId="7EF03194" w:rsidR="008E7204" w:rsidRPr="00E13FF0" w:rsidRDefault="008E7204" w:rsidP="008E720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</w:tcPr>
          <w:p w14:paraId="433D2437" w14:textId="556D692C" w:rsidR="008E7204" w:rsidRPr="00E13FF0" w:rsidRDefault="00CE6AC4" w:rsidP="00CE6AC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875" w:type="dxa"/>
          </w:tcPr>
          <w:p w14:paraId="1BA32DFF" w14:textId="52247F5F" w:rsidR="008E7204" w:rsidRPr="00E13FF0" w:rsidRDefault="008E7204" w:rsidP="008E720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C7F88" w:rsidRPr="00E13FF0" w14:paraId="6008E776" w14:textId="77777777" w:rsidTr="00FE6230"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19E33754" w14:textId="12FAA703" w:rsidR="004C7F88" w:rsidRPr="00CE6AC4" w:rsidRDefault="00461001" w:rsidP="004C7F88">
            <w:pPr>
              <w:keepNext/>
              <w:keepLines/>
              <w:spacing w:before="60" w:after="60"/>
              <w:jc w:val="left"/>
              <w:rPr>
                <w:color w:val="000000"/>
                <w:sz w:val="22"/>
                <w:szCs w:val="22"/>
              </w:rPr>
            </w:pPr>
            <w:r w:rsidRPr="00CE6AC4">
              <w:rPr>
                <w:color w:val="000000"/>
                <w:sz w:val="22"/>
                <w:szCs w:val="22"/>
              </w:rPr>
              <w:t>T</w:t>
            </w:r>
            <w:r w:rsidR="008E7204" w:rsidRPr="00CE6AC4">
              <w:rPr>
                <w:color w:val="000000"/>
                <w:sz w:val="22"/>
                <w:szCs w:val="22"/>
              </w:rPr>
              <w:t>iskárna</w:t>
            </w:r>
          </w:p>
        </w:tc>
        <w:tc>
          <w:tcPr>
            <w:tcW w:w="2495" w:type="dxa"/>
            <w:tcBorders>
              <w:bottom w:val="single" w:sz="18" w:space="0" w:color="auto"/>
            </w:tcBorders>
          </w:tcPr>
          <w:p w14:paraId="3CCE46F1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51" w:type="dxa"/>
            <w:tcBorders>
              <w:bottom w:val="single" w:sz="18" w:space="0" w:color="auto"/>
            </w:tcBorders>
          </w:tcPr>
          <w:p w14:paraId="7F60FF75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bottom w:val="single" w:sz="18" w:space="0" w:color="auto"/>
            </w:tcBorders>
          </w:tcPr>
          <w:p w14:paraId="473529D5" w14:textId="4A1CD883" w:rsidR="004C7F88" w:rsidRPr="00E13FF0" w:rsidRDefault="00CE6AC4" w:rsidP="00CE6AC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14:paraId="5D92B3CF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254BD9" w:rsidRPr="00E13FF0" w14:paraId="0B04489F" w14:textId="77777777" w:rsidTr="00FE6230">
        <w:trPr>
          <w:trHeight w:val="735"/>
        </w:trPr>
        <w:tc>
          <w:tcPr>
            <w:tcW w:w="63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27F2F1" w14:textId="21337DBD" w:rsidR="00254BD9" w:rsidRPr="00E13FF0" w:rsidRDefault="00254BD9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  <w:r w:rsidRPr="00CE6AC4">
              <w:rPr>
                <w:b/>
                <w:color w:val="000000"/>
              </w:rPr>
              <w:t>Cena celkem v Kč bez DPH</w:t>
            </w:r>
          </w:p>
        </w:tc>
        <w:tc>
          <w:tcPr>
            <w:tcW w:w="18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9FD03C" w14:textId="77777777" w:rsidR="00254BD9" w:rsidRPr="00E13FF0" w:rsidRDefault="00254BD9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7521708D" w14:textId="5AA7DBCE" w:rsidR="006A5A15" w:rsidRPr="004C7F88" w:rsidRDefault="006A5A15" w:rsidP="004C7F88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</w:p>
    <w:p w14:paraId="1DF6D65D" w14:textId="5B5F038B" w:rsidR="00510539" w:rsidRDefault="004C7F88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>
        <w:t>Celková plnění</w:t>
      </w:r>
      <w:r w:rsidR="00510539">
        <w:t xml:space="preserve"> (cena celkové dodávky) je stanovena jako smluvní ve výši:</w:t>
      </w:r>
    </w:p>
    <w:p w14:paraId="5B1762A9" w14:textId="77777777" w:rsidR="00510539" w:rsidRDefault="00510539" w:rsidP="00510539">
      <w:pPr>
        <w:pStyle w:val="Odstavecseseznamem1"/>
        <w:widowControl w:val="0"/>
        <w:spacing w:after="240"/>
        <w:ind w:left="0"/>
      </w:pPr>
    </w:p>
    <w:p w14:paraId="094862C2" w14:textId="1AE2A87D" w:rsidR="00510539" w:rsidRDefault="00510539" w:rsidP="00510539">
      <w:pPr>
        <w:pStyle w:val="Odstavecseseznamem1"/>
        <w:widowControl w:val="0"/>
        <w:spacing w:after="240"/>
        <w:ind w:left="0"/>
      </w:pPr>
      <w:r>
        <w:t>Cena bez DPH</w:t>
      </w:r>
      <w:r>
        <w:tab/>
      </w:r>
      <w:r>
        <w:tab/>
        <w:t>…. Kč    (</w:t>
      </w:r>
      <w:r w:rsidRPr="00510539">
        <w:rPr>
          <w:i/>
        </w:rPr>
        <w:t>slovy …..</w:t>
      </w:r>
      <w:r>
        <w:t xml:space="preserve">) </w:t>
      </w:r>
    </w:p>
    <w:p w14:paraId="39016C3E" w14:textId="77777777" w:rsidR="00510539" w:rsidRDefault="00510539" w:rsidP="00510539">
      <w:pPr>
        <w:pStyle w:val="Odstavecseseznamem1"/>
        <w:widowControl w:val="0"/>
        <w:spacing w:after="240"/>
        <w:ind w:left="0"/>
      </w:pPr>
      <w:r>
        <w:t>DPH 21 %</w:t>
      </w:r>
      <w:r>
        <w:tab/>
      </w:r>
      <w:r>
        <w:tab/>
      </w:r>
      <w:r>
        <w:tab/>
        <w:t xml:space="preserve">…. Kč             </w:t>
      </w:r>
    </w:p>
    <w:p w14:paraId="7F7F1794" w14:textId="0ED547A5" w:rsidR="004C7F88" w:rsidRDefault="00510539" w:rsidP="00510539">
      <w:pPr>
        <w:pStyle w:val="Odstavecseseznamem1"/>
        <w:widowControl w:val="0"/>
        <w:ind w:left="0"/>
        <w:contextualSpacing w:val="0"/>
      </w:pPr>
      <w:r>
        <w:t>Celková cena včetně DPH</w:t>
      </w:r>
      <w:r>
        <w:tab/>
        <w:t>…. Kč  (</w:t>
      </w:r>
      <w:r w:rsidRPr="00510539">
        <w:rPr>
          <w:i/>
        </w:rPr>
        <w:t>slovy …..</w:t>
      </w:r>
      <w:r>
        <w:t>).</w:t>
      </w:r>
    </w:p>
    <w:p w14:paraId="3E62C336" w14:textId="111B5F1C" w:rsidR="004C7F88" w:rsidRPr="004C7F88" w:rsidRDefault="004C7F88" w:rsidP="004C7F88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</w:p>
    <w:p w14:paraId="03E8D5D3" w14:textId="77777777" w:rsidR="004C7F88" w:rsidRPr="004C7F88" w:rsidRDefault="004C7F88" w:rsidP="0042316F">
      <w:pPr>
        <w:pStyle w:val="Odstavecseseznamem1"/>
        <w:widowControl w:val="0"/>
        <w:ind w:left="0"/>
        <w:contextualSpacing w:val="0"/>
      </w:pPr>
    </w:p>
    <w:p w14:paraId="22ABF7BF" w14:textId="73A686A8"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t>Cena podle odstavce 1</w:t>
      </w:r>
      <w:r w:rsidR="004836D8">
        <w:rPr>
          <w:szCs w:val="22"/>
        </w:rPr>
        <w:t xml:space="preserve"> a 2</w:t>
      </w:r>
      <w:r w:rsidRPr="00F12347">
        <w:rPr>
          <w:szCs w:val="22"/>
        </w:rPr>
        <w:t xml:space="preserve"> je platná po celou dobu trvání této </w:t>
      </w:r>
      <w:r>
        <w:rPr>
          <w:szCs w:val="22"/>
        </w:rPr>
        <w:t xml:space="preserve">rámcové </w:t>
      </w:r>
      <w:r w:rsidR="00BD6488">
        <w:rPr>
          <w:szCs w:val="22"/>
        </w:rPr>
        <w:t>dohod</w:t>
      </w:r>
      <w:r w:rsidR="00C26092">
        <w:rPr>
          <w:szCs w:val="22"/>
        </w:rPr>
        <w:t>y bez </w:t>
      </w:r>
      <w:r w:rsidRPr="00F12347">
        <w:rPr>
          <w:szCs w:val="22"/>
        </w:rPr>
        <w:t>ohledu na vývoj inflace či jiné skutečnosti promítající se do ceny výrobků či služeb na trhu.</w:t>
      </w:r>
    </w:p>
    <w:p w14:paraId="3A4C2850" w14:textId="0B39429D"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974E49">
        <w:rPr>
          <w:szCs w:val="22"/>
        </w:rPr>
        <w:t>dodavatel</w:t>
      </w:r>
      <w:r w:rsidR="00974E49" w:rsidRPr="00C3426C">
        <w:rPr>
          <w:szCs w:val="22"/>
        </w:rPr>
        <w:t xml:space="preserve"> </w:t>
      </w:r>
      <w:r w:rsidR="00BD6488">
        <w:rPr>
          <w:szCs w:val="22"/>
        </w:rPr>
        <w:t>na základě této dohod</w:t>
      </w:r>
      <w:r w:rsidRPr="00C3426C">
        <w:rPr>
          <w:szCs w:val="22"/>
        </w:rPr>
        <w:t>y či obecně závazných právních předpisů povinen.</w:t>
      </w:r>
    </w:p>
    <w:p w14:paraId="16B35B4F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14:paraId="79C29BCB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39DFC07E" w14:textId="0961140A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ceny písemným dodatkem k této </w:t>
      </w:r>
      <w:r>
        <w:t xml:space="preserve">rámcové </w:t>
      </w:r>
      <w:r w:rsidR="00BD6488">
        <w:t>dohod</w:t>
      </w:r>
      <w:r w:rsidRPr="00CC13D6">
        <w:t>ě.</w:t>
      </w:r>
    </w:p>
    <w:p w14:paraId="57E88474" w14:textId="4B2B79EB"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974E49">
        <w:t>dodavateli</w:t>
      </w:r>
      <w:r w:rsidR="00974E49" w:rsidRPr="00F12347">
        <w:t xml:space="preserve"> </w:t>
      </w:r>
      <w:r w:rsidRPr="00F12347">
        <w:t xml:space="preserve">zjistit před uzavřením </w:t>
      </w:r>
      <w:r>
        <w:t xml:space="preserve">rámcové </w:t>
      </w:r>
      <w:r w:rsidR="00BD6488">
        <w:t>dohod</w:t>
      </w:r>
      <w:r w:rsidRPr="00F12347">
        <w:t>y.</w:t>
      </w:r>
    </w:p>
    <w:p w14:paraId="0E2E3873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E38533E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14:paraId="71DE4597" w14:textId="77777777"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 xml:space="preserve">. Faktura musí obsahovat náležitosti daňového dokladu ve smyslu zákona č. 235/2004 Sb., včetně doplnění dalších náležitostí faktury </w:t>
      </w:r>
      <w:r>
        <w:t>podle § 435 občanského zákoníku.</w:t>
      </w:r>
    </w:p>
    <w:p w14:paraId="7720AA6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14:paraId="3B368863" w14:textId="09DD0113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lastRenderedPageBreak/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>oprávněn ji</w:t>
      </w:r>
      <w:r w:rsidR="00410DCC">
        <w:t> </w:t>
      </w:r>
      <w:r w:rsidRPr="00CC13D6">
        <w:t xml:space="preserve">vrátit ve lhůtě splatnosti zpět </w:t>
      </w:r>
      <w:r w:rsidRPr="00F12347">
        <w:t xml:space="preserve">dodavateli </w:t>
      </w:r>
      <w:r w:rsidRPr="00CC13D6">
        <w:t>k doplnění, aniž se tak dostane do prodlení se</w:t>
      </w:r>
      <w:r w:rsidR="00410DCC">
        <w:t> </w:t>
      </w:r>
      <w:r w:rsidRPr="00CC13D6">
        <w:t>splatností. Lhůta splatnosti počíná běžet znovu od doručení náležitě doplněného či</w:t>
      </w:r>
      <w:r w:rsidR="00410DCC">
        <w:t> </w:t>
      </w:r>
      <w:r w:rsidRPr="00CC13D6">
        <w:t>opraveného dokladu.</w:t>
      </w:r>
    </w:p>
    <w:p w14:paraId="361B1CC0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14:paraId="492AC2F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14:paraId="0886A067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5A6E2032" w14:textId="27EA9682" w:rsidR="00EC7F0E" w:rsidRDefault="00C933FB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</w:t>
      </w:r>
      <w:r w:rsidR="006A5A15" w:rsidRPr="00F12347">
        <w:t>a nedodržení termínů uvedených v</w:t>
      </w:r>
      <w:r w:rsidR="00EC7F0E">
        <w:t xml:space="preserve"> čl. 4 odst. 3 </w:t>
      </w:r>
      <w:r w:rsidR="00BD6488">
        <w:t>této dohod</w:t>
      </w:r>
      <w:r w:rsidR="00EC7F0E">
        <w:t>y</w:t>
      </w:r>
      <w:r w:rsidR="006A5A15" w:rsidRPr="00F12347">
        <w:t xml:space="preserve"> z důvodů na straně dodavatele,</w:t>
      </w:r>
      <w:r>
        <w:t xml:space="preserve"> </w:t>
      </w:r>
      <w:r w:rsidRPr="00033BBA">
        <w:t>je </w:t>
      </w:r>
      <w:r w:rsidR="00CF0A5B">
        <w:t>objednatel</w:t>
      </w:r>
      <w:r>
        <w:t xml:space="preserve"> op</w:t>
      </w:r>
      <w:r w:rsidR="00CF0A5B">
        <w:t>rávněn požadovat po dodavateli</w:t>
      </w:r>
      <w:r>
        <w:t xml:space="preserve">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6A5A15" w:rsidRPr="00F12347">
        <w:t xml:space="preserve"> </w:t>
      </w:r>
      <w:r w:rsidR="001D2053">
        <w:t>5</w:t>
      </w:r>
      <w:r w:rsidR="006A5A15" w:rsidRPr="00F12347">
        <w:t>000,- Kč</w:t>
      </w:r>
      <w:r>
        <w:t xml:space="preserve"> (</w:t>
      </w:r>
      <w:r w:rsidRPr="00E0101D">
        <w:rPr>
          <w:i/>
        </w:rPr>
        <w:t xml:space="preserve">slovy </w:t>
      </w:r>
      <w:r w:rsidR="00461001">
        <w:rPr>
          <w:i/>
        </w:rPr>
        <w:t>pě</w:t>
      </w:r>
      <w:r w:rsidRPr="00E0101D">
        <w:rPr>
          <w:i/>
        </w:rPr>
        <w:t>ttisíc korun českých</w:t>
      </w:r>
      <w:r>
        <w:t>)</w:t>
      </w:r>
      <w:r w:rsidR="006A5A15" w:rsidRPr="00F12347">
        <w:t xml:space="preserve"> za každý </w:t>
      </w:r>
      <w:r>
        <w:t>byť</w:t>
      </w:r>
      <w:r w:rsidR="006A5A15" w:rsidRPr="00F12347">
        <w:t> započatý den prodlení.</w:t>
      </w:r>
    </w:p>
    <w:p w14:paraId="2FC45002" w14:textId="1B561109" w:rsidR="006A5A15" w:rsidRPr="00F12347" w:rsidRDefault="002D78A5" w:rsidP="00B703A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D78A5">
        <w:t xml:space="preserve"> </w:t>
      </w:r>
      <w:r>
        <w:t>Z</w:t>
      </w:r>
      <w:r w:rsidRPr="00F12347">
        <w:t xml:space="preserve">a nedodržení termínů </w:t>
      </w:r>
      <w:r>
        <w:t xml:space="preserve">a podmínek </w:t>
      </w:r>
      <w:r w:rsidRPr="00F12347">
        <w:t>uvedených v</w:t>
      </w:r>
      <w:r>
        <w:t xml:space="preserve"> čl. 8 </w:t>
      </w:r>
      <w:r w:rsidR="00BD6488">
        <w:t>této dohod</w:t>
      </w:r>
      <w:r>
        <w:t>y</w:t>
      </w:r>
      <w:r w:rsidRPr="00F12347">
        <w:t xml:space="preserve"> z důvodů na straně dodavatele,</w:t>
      </w:r>
      <w:r>
        <w:t xml:space="preserve"> </w:t>
      </w:r>
      <w:r w:rsidRPr="00033BBA">
        <w:t>je </w:t>
      </w:r>
      <w:r>
        <w:t>objednatel oprávněn požadovat po dodavateli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>
        <w:t xml:space="preserve"> </w:t>
      </w:r>
      <w:r w:rsidR="001D2053">
        <w:t>15</w:t>
      </w:r>
      <w:r w:rsidRPr="00F12347">
        <w:t>00,- Kč</w:t>
      </w:r>
      <w:r>
        <w:t xml:space="preserve"> (</w:t>
      </w:r>
      <w:r w:rsidRPr="00B6398D">
        <w:rPr>
          <w:i/>
        </w:rPr>
        <w:t xml:space="preserve">slovy </w:t>
      </w:r>
      <w:r w:rsidR="00461001">
        <w:rPr>
          <w:i/>
        </w:rPr>
        <w:t>tisícpětset</w:t>
      </w:r>
      <w:r w:rsidRPr="00B6398D">
        <w:rPr>
          <w:i/>
        </w:rPr>
        <w:t xml:space="preserve"> korun českých</w:t>
      </w:r>
      <w:r>
        <w:t>)</w:t>
      </w:r>
      <w:r w:rsidRPr="00F12347">
        <w:t xml:space="preserve"> za každý </w:t>
      </w:r>
      <w:r>
        <w:t>byť</w:t>
      </w:r>
      <w:r w:rsidRPr="00F12347">
        <w:t> započatý den prodlení.</w:t>
      </w:r>
    </w:p>
    <w:p w14:paraId="193E263C" w14:textId="1B93E253"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rámcové </w:t>
      </w:r>
      <w:r w:rsidR="00BD6488">
        <w:t>dohod</w:t>
      </w:r>
      <w:r w:rsidRPr="00CC13D6">
        <w:t>y nemají vliv na náhradu škody.</w:t>
      </w:r>
    </w:p>
    <w:p w14:paraId="004D868B" w14:textId="787F154A"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odpovídá za škodu způsobenou objednateli v důsledku porušení povinností dodavatele, pokud toto porušení nebylo způsobeno okolností vylučující odpovědnost dle</w:t>
      </w:r>
      <w:r w:rsidR="00410DCC">
        <w:t> 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14:paraId="392F458F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658C483B" w14:textId="0D9843A1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 xml:space="preserve">Dodavatel se zavazuje dodat předmět plnění bez jakýchkoliv faktických a právních vad a za </w:t>
      </w:r>
      <w:r w:rsidR="00BD6488">
        <w:t>podmínek sjednaných touto dohod</w:t>
      </w:r>
      <w:r w:rsidRPr="00F12347">
        <w:t>ou</w:t>
      </w:r>
      <w:r w:rsidRPr="00CC13D6">
        <w:t>.</w:t>
      </w:r>
    </w:p>
    <w:p w14:paraId="51BBDA05" w14:textId="4301D491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</w:t>
      </w:r>
      <w:r w:rsidR="00144307">
        <w:t>60</w:t>
      </w:r>
      <w:r w:rsidRPr="00CC13D6">
        <w:t xml:space="preserve"> měsíců</w:t>
      </w:r>
      <w:r w:rsidR="00CF6AC3">
        <w:t>, pokud v příloze této smlouvy není uvedeno jinak</w:t>
      </w:r>
      <w:r w:rsidRPr="00CC13D6">
        <w:t>. Záruční doba počíná běžet dnem předání a převzetí dokončeného předmětu plnění</w:t>
      </w:r>
      <w:r w:rsidR="00CB5034">
        <w:t xml:space="preserve"> (nebo jeho příslušné části)</w:t>
      </w:r>
      <w:r w:rsidRPr="00CC13D6">
        <w:t>. Doba záruky se prodlouží o dobu od uplatnění oprávněné reklamace do převzetí předmětu plnění po odstranění vady.</w:t>
      </w:r>
    </w:p>
    <w:p w14:paraId="2EA7E2CF" w14:textId="11F65896" w:rsidR="006A5A15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>Dodavatel se zavazuje, že j</w:t>
      </w:r>
      <w:r w:rsidR="00BD6488">
        <w:t>ím dodané plnění dle této dohod</w:t>
      </w:r>
      <w:r w:rsidRPr="000F71DC">
        <w:t xml:space="preserve">y bude mít po dobu trvání záruční doby vlastnosti dle této </w:t>
      </w:r>
      <w:r>
        <w:t xml:space="preserve">rámcové </w:t>
      </w:r>
      <w:r w:rsidR="00BD6488">
        <w:t>dohod</w:t>
      </w:r>
      <w:r w:rsidRPr="000F71DC">
        <w:t>y dle obecně závazných právních předpisů a</w:t>
      </w:r>
      <w:r>
        <w:t> </w:t>
      </w:r>
      <w:r w:rsidRPr="000F71DC">
        <w:t xml:space="preserve">bude v souladu s nabídkou podanou </w:t>
      </w:r>
      <w:r w:rsidR="00974E49">
        <w:t>dodavatelem</w:t>
      </w:r>
      <w:r>
        <w:t>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14:paraId="62BBC1CC" w14:textId="4C7E7037" w:rsidR="00CB5034" w:rsidRPr="000F71DC" w:rsidRDefault="00CF6AC3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Pokud je v příloze této smlouvy uvedeno, o</w:t>
      </w:r>
      <w:r w:rsidR="00CB5034">
        <w:t xml:space="preserve">bjednatel uplatňuje reklamaci prostřednictvím dodavatelem určeného kontaktního místa. Dodavatel se zavazuje k započetí opravy vady do konce následujícího pracovního dne na objednatelem ohlášeném místě výskytu předmětu plnění (NBD on-site) a k dokončení </w:t>
      </w:r>
      <w:r w:rsidR="00EC7F0E">
        <w:t xml:space="preserve">této </w:t>
      </w:r>
      <w:r w:rsidR="00CB5034">
        <w:t>opravy do 5-ti pracovních dnů na stejném mí</w:t>
      </w:r>
      <w:r w:rsidR="00EC7F0E">
        <w:t xml:space="preserve">stě. Pokud není možné opravit </w:t>
      </w:r>
      <w:r w:rsidR="00CB5034">
        <w:t xml:space="preserve">vadu již v termínu do konce následujícího pracovního dne od jejího uplatnění objednatelem, dodavatel se zavazuje k bezplatnému zapůjčení shodného zařízení objednateli po dobu trvání opravy zařízení reklamovaného.     </w:t>
      </w:r>
    </w:p>
    <w:p w14:paraId="79B4F5BD" w14:textId="3A229444"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</w:t>
      </w:r>
      <w:r w:rsidR="00CB5034">
        <w:t>dle odst. 4</w:t>
      </w:r>
      <w:r w:rsidRPr="000F71DC">
        <w:t xml:space="preserve">, je objednatel oprávněn </w:t>
      </w:r>
      <w:r w:rsidRPr="000F71DC">
        <w:lastRenderedPageBreak/>
        <w:t>odstranit vadu na náklady dodavatele. Dodavatel se zavazuje</w:t>
      </w:r>
      <w:r w:rsidR="00C743FE">
        <w:t xml:space="preserve"> uhradit objednateli náklady na </w:t>
      </w:r>
      <w:r w:rsidRPr="000F71DC">
        <w:t>odstranění reklamované vady ve výši vyúčtované ob</w:t>
      </w:r>
      <w:r w:rsidR="00C743FE">
        <w:t>jednatelem, a to bezodkladně po </w:t>
      </w:r>
      <w:r w:rsidRPr="000F71DC">
        <w:t>doručení jejich vyúčtování</w:t>
      </w:r>
      <w:r w:rsidR="00CB5034">
        <w:t xml:space="preserve"> a uhradit smluvní pokutu dle čl. 7 této </w:t>
      </w:r>
      <w:r w:rsidR="00BD6488">
        <w:t>dohod</w:t>
      </w:r>
      <w:r w:rsidR="00CB5034">
        <w:t>y</w:t>
      </w:r>
      <w:r w:rsidRPr="000F71DC">
        <w:t>.</w:t>
      </w:r>
    </w:p>
    <w:p w14:paraId="2E444BFF" w14:textId="1611EB46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 xml:space="preserve">Ukončení </w:t>
      </w:r>
      <w:r w:rsidR="00BD6488" w:rsidRPr="00BD6488">
        <w:rPr>
          <w:rFonts w:ascii="Times New Roman" w:hAnsi="Times New Roman" w:cs="Times New Roman"/>
          <w:sz w:val="24"/>
          <w:szCs w:val="24"/>
        </w:rPr>
        <w:t>dohod</w:t>
      </w:r>
      <w:r w:rsidRPr="00BD6488">
        <w:rPr>
          <w:rFonts w:ascii="Times New Roman" w:hAnsi="Times New Roman" w:cs="Times New Roman"/>
          <w:sz w:val="24"/>
          <w:szCs w:val="24"/>
        </w:rPr>
        <w:t>y</w:t>
      </w:r>
    </w:p>
    <w:p w14:paraId="0D2444B1" w14:textId="231956B6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poruší podstatným způsobem tuto </w:t>
      </w:r>
      <w:r>
        <w:t xml:space="preserve">rámcovou </w:t>
      </w:r>
      <w:r w:rsidR="00FB3FAC">
        <w:t>dohod</w:t>
      </w:r>
      <w:r w:rsidRPr="000F71DC">
        <w:t xml:space="preserve">u, je </w:t>
      </w:r>
      <w:r w:rsidR="00741DE5">
        <w:t xml:space="preserve">ji </w:t>
      </w:r>
      <w:r w:rsidRPr="000F71DC">
        <w:t xml:space="preserve">druhá strana oprávněna písemně vyzvat ke splnění jejích závazků. Pokud do 3 dní od doručení této výzvy strana, která porušila </w:t>
      </w:r>
      <w:r>
        <w:t xml:space="preserve">rámcovou </w:t>
      </w:r>
      <w:r w:rsidR="00FB3FAC">
        <w:t>dohod</w:t>
      </w:r>
      <w:r w:rsidRPr="000F71DC">
        <w:t xml:space="preserve">u, neodstraní porušení závazků, může druhá strana od </w:t>
      </w:r>
      <w:r w:rsidR="00FB3FAC">
        <w:t>dohod</w:t>
      </w:r>
      <w:r w:rsidRPr="000F71DC">
        <w:t>y odstoupit, aniž by se tím zbavovala výkonu jakýchkoli jiných práv nebo prostředků k dosažení nápravy.</w:t>
      </w:r>
    </w:p>
    <w:p w14:paraId="436BDF9D" w14:textId="4EC751C5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Objednatel je oprávněn od této </w:t>
      </w:r>
      <w:r>
        <w:t xml:space="preserve">rámcové </w:t>
      </w:r>
      <w:r w:rsidR="00FB3FAC">
        <w:t>dohod</w:t>
      </w:r>
      <w:r w:rsidRPr="000F71DC">
        <w:t xml:space="preserve">y odstoupit, pokud nedostane prostředky ze státního rozpočtu účelově určené na plnění podle této </w:t>
      </w:r>
      <w:r>
        <w:t xml:space="preserve">rámcové </w:t>
      </w:r>
      <w:r w:rsidR="00FB3FAC">
        <w:t>dohod</w:t>
      </w:r>
      <w:r w:rsidRPr="000F71DC">
        <w:t xml:space="preserve">y, nebo bude povinen tyto prostředky vrátit. Věta první se uplatní i v případě částečného neposkytnutí nebo vrácení prostředků. Odstoupení od </w:t>
      </w:r>
      <w:r>
        <w:t xml:space="preserve">rámcové </w:t>
      </w:r>
      <w:r w:rsidR="00FB3FAC">
        <w:t>dohod</w:t>
      </w:r>
      <w:r w:rsidRPr="000F71DC">
        <w:t xml:space="preserve">y je účinné dnem doručení oznámení o odstoupení </w:t>
      </w:r>
      <w:r w:rsidR="00974E49">
        <w:t>dodavateli</w:t>
      </w:r>
      <w:r w:rsidRPr="000F71DC">
        <w:t>.</w:t>
      </w:r>
    </w:p>
    <w:p w14:paraId="1C6E7569" w14:textId="6425B4DF" w:rsidR="006A5A15" w:rsidRPr="00CC13D6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</w:t>
      </w:r>
      <w:r>
        <w:t xml:space="preserve">rámcové </w:t>
      </w:r>
      <w:r w:rsidR="00FB3FAC">
        <w:t>dohod</w:t>
      </w:r>
      <w:r w:rsidRPr="00CC13D6">
        <w:t xml:space="preserve">y, jejichž cílem je upravit vztahy mezi smluvními stranami po ukončení účinnosti této </w:t>
      </w:r>
      <w:r>
        <w:t xml:space="preserve">rámcové </w:t>
      </w:r>
      <w:r w:rsidR="00FB3FAC">
        <w:t>dohod</w:t>
      </w:r>
      <w:r w:rsidRPr="00CC13D6">
        <w:t xml:space="preserve">y, zůstanou účinná i po ukončení </w:t>
      </w:r>
      <w:r>
        <w:t>účinnosti</w:t>
      </w:r>
      <w:r w:rsidRPr="00CC13D6">
        <w:t xml:space="preserve"> této </w:t>
      </w:r>
      <w:r>
        <w:t xml:space="preserve">rámcové </w:t>
      </w:r>
      <w:r w:rsidR="00FB3FAC">
        <w:t>dohod</w:t>
      </w:r>
      <w:r w:rsidRPr="00CC13D6">
        <w:t>y.</w:t>
      </w:r>
    </w:p>
    <w:p w14:paraId="549AFBC9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58BA222A" w14:textId="419F586D"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 xml:space="preserve">Práva a závazky smluvních stran, které nejsou výslovně upraveny touto rámcovou </w:t>
      </w:r>
      <w:r w:rsidR="00FB3FAC">
        <w:t>dohod</w:t>
      </w:r>
      <w:r>
        <w:t>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>
        <w:t xml:space="preserve">z rámcové </w:t>
      </w:r>
      <w:r w:rsidR="00FB3FAC">
        <w:t>dohod</w:t>
      </w:r>
      <w:r>
        <w:t>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77BD7E6B" w14:textId="70509004" w:rsidR="006A5A15" w:rsidRPr="000F71DC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 xml:space="preserve">l je povinen archivovat veškeré dokumenty týkající se plnění z této </w:t>
      </w:r>
      <w:r>
        <w:t xml:space="preserve">rámcové </w:t>
      </w:r>
      <w:r w:rsidR="00FB3FAC">
        <w:t>dohod</w:t>
      </w:r>
      <w:r w:rsidRPr="000F71DC">
        <w:t>y po dobu nejméně deseti let následujících po ukončení plnění.</w:t>
      </w:r>
    </w:p>
    <w:p w14:paraId="3BA7D4EB" w14:textId="0E4F945C" w:rsidR="006A5A15" w:rsidRPr="00923A7A" w:rsidRDefault="00974E49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23A7A">
        <w:t xml:space="preserve"> </w:t>
      </w:r>
      <w:r w:rsidR="006A5A15" w:rsidRPr="00923A7A">
        <w:t xml:space="preserve">hodlá provádět následující plnění prostřednictvím </w:t>
      </w:r>
      <w:r w:rsidR="000B62EF">
        <w:t>poddodavatelů</w:t>
      </w:r>
      <w:r w:rsidR="006A5A15" w:rsidRPr="00923A7A">
        <w:t>:</w:t>
      </w:r>
    </w:p>
    <w:p w14:paraId="30A01390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081B4D23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1A6AF8AE" w14:textId="37EC8283" w:rsidR="006A5A15" w:rsidRDefault="00974E49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 w:rsidRPr="00974E49">
        <w:rPr>
          <w:sz w:val="24"/>
          <w:szCs w:val="24"/>
        </w:rPr>
        <w:t xml:space="preserve">Dodavatel </w:t>
      </w:r>
      <w:r w:rsidR="006A5A15" w:rsidRPr="00974E49">
        <w:rPr>
          <w:sz w:val="24"/>
          <w:szCs w:val="24"/>
        </w:rPr>
        <w:t xml:space="preserve">není oprávněn měnit své </w:t>
      </w:r>
      <w:r w:rsidR="000B62EF">
        <w:rPr>
          <w:sz w:val="24"/>
          <w:szCs w:val="24"/>
        </w:rPr>
        <w:t>poddodavatele</w:t>
      </w:r>
      <w:r w:rsidR="006A5A15" w:rsidRPr="00974E49">
        <w:rPr>
          <w:sz w:val="24"/>
          <w:szCs w:val="24"/>
        </w:rPr>
        <w:t xml:space="preserve"> bez předchozího písemného souhlasu objednatele.</w:t>
      </w:r>
    </w:p>
    <w:p w14:paraId="591E74EC" w14:textId="3B733C7A" w:rsidR="00E64A05" w:rsidRPr="00E64A05" w:rsidRDefault="00E64A05" w:rsidP="00E64A05">
      <w:pPr>
        <w:pStyle w:val="Nadpis1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11</w:t>
      </w:r>
    </w:p>
    <w:p w14:paraId="57FB2605" w14:textId="77777777" w:rsidR="00E64A05" w:rsidRPr="00115311" w:rsidRDefault="00E64A05" w:rsidP="00E64A05">
      <w:pPr>
        <w:pStyle w:val="Nadpis1"/>
        <w:spacing w:before="0"/>
        <w:ind w:left="3767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t xml:space="preserve">  Mlčenlivost</w:t>
      </w:r>
    </w:p>
    <w:p w14:paraId="58EE796A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</w:t>
      </w:r>
      <w:r w:rsidRPr="00115311">
        <w:lastRenderedPageBreak/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4FB4AB0D" w14:textId="25A39C3B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Smluvní strany jsou rovněž povinny zachovávat mlčenlivost o všech údajích smluvních stran či třetích osob, majících charakter osobních údajů</w:t>
      </w:r>
      <w:r w:rsidR="00A43CBC">
        <w:t xml:space="preserve"> a dále jsou povinny postupovat </w:t>
      </w:r>
      <w:r w:rsidR="00A43CBC" w:rsidRPr="00DC688F">
        <w:t>v</w:t>
      </w:r>
      <w:r w:rsidR="00510539">
        <w:t> </w:t>
      </w:r>
      <w:r w:rsidR="00A43CBC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510539">
        <w:t> </w:t>
      </w:r>
      <w:r w:rsidR="00A43CBC" w:rsidRPr="00DC688F">
        <w:t>zákonem č. 110/2019 Sb. o zpracování osobních údajů.</w:t>
      </w:r>
      <w:r w:rsidRPr="00115311">
        <w:t xml:space="preserve"> Dodavatel je povinen objednateli prokázat zda a jakým způsobem plní povinnosti dle</w:t>
      </w:r>
      <w:r w:rsidR="00A43CBC">
        <w:t xml:space="preserve"> výše zmíněného Nařízení a zákona. </w:t>
      </w:r>
      <w:r w:rsidRPr="00115311">
        <w:t>Tyto údaje jsou rovněž pro účely této smlouvy považovány za informace důvěrného charakteru.</w:t>
      </w:r>
    </w:p>
    <w:p w14:paraId="6112FFDE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30EEC1F0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5292E94E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690D3C5C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3BD18C42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 než je druhá smluvní strana bez předchozího výslovného písemného souhlasu smluvní strany, které se tyto informace bezprostředně týkají,</w:t>
      </w:r>
    </w:p>
    <w:p w14:paraId="70FE9CF6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72D8732A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74C6FE60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1119AD47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Povinnost považovat informace získané od druhé smluvní strany v souvislosti s plněním závazků vyplývajících z této smlouvy za informace důvěrného charakteru se nevztahuje na:</w:t>
      </w:r>
    </w:p>
    <w:p w14:paraId="21192EC6" w14:textId="77777777" w:rsidR="00E64A05" w:rsidRPr="00115311" w:rsidRDefault="00E64A05" w:rsidP="00E64A05">
      <w:pPr>
        <w:pStyle w:val="BlockQuotation"/>
        <w:widowControl/>
        <w:numPr>
          <w:ilvl w:val="0"/>
          <w:numId w:val="1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informace, které jedna ze stran získala před datem podepsání této smlouvy,</w:t>
      </w:r>
    </w:p>
    <w:p w14:paraId="5E241B53" w14:textId="77777777" w:rsidR="00E64A05" w:rsidRPr="00115311" w:rsidRDefault="00E64A05" w:rsidP="00E64A05">
      <w:pPr>
        <w:pStyle w:val="BlockQuotation"/>
        <w:widowControl/>
        <w:numPr>
          <w:ilvl w:val="0"/>
          <w:numId w:val="1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0757A88C" w14:textId="77777777" w:rsidR="00E64A05" w:rsidRPr="00974E49" w:rsidRDefault="00E64A05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</w:p>
    <w:p w14:paraId="14D2F132" w14:textId="77777777" w:rsidR="006A5A15" w:rsidRPr="00CC13D6" w:rsidRDefault="006A5A15" w:rsidP="00E64A05">
      <w:pPr>
        <w:pStyle w:val="Nadpis1"/>
        <w:numPr>
          <w:ilvl w:val="0"/>
          <w:numId w:val="20"/>
        </w:numPr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14:paraId="7B7BD7AA" w14:textId="42D2FC9C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 xml:space="preserve">Obě smluvní strany jsou povinny zachovávat mlčenlivost o informacích o druhé smluvní straně, její činnosti a jejích pracovnících, o nichž se v souvislosti s plněním podle této </w:t>
      </w:r>
      <w:r>
        <w:t xml:space="preserve">rámcové </w:t>
      </w:r>
      <w:r w:rsidR="00FB3FAC">
        <w:t>dohod</w:t>
      </w:r>
      <w:r w:rsidRPr="00CC13D6">
        <w:t>y dozví a dále jsou povinny postupovat v souladu se zákonem č. 101/2000 Sb., o ochraně osobních údajů a o změně některých zákonů, ve znění pozdějších předpisů.</w:t>
      </w:r>
    </w:p>
    <w:p w14:paraId="590D800E" w14:textId="31B806B6" w:rsidR="006A5A15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8D612B">
        <w:t xml:space="preserve">Písemnosti týkající se této </w:t>
      </w:r>
      <w:r>
        <w:t xml:space="preserve">rámcové </w:t>
      </w:r>
      <w:r w:rsidR="00FB3FAC">
        <w:t>dohod</w:t>
      </w:r>
      <w:r w:rsidRPr="008D612B">
        <w:t>y se považují za doručené i v případě, že druhá smluvní strana jejich doruč</w:t>
      </w:r>
      <w:r>
        <w:t>ení odmítne, či jinak znemožní.</w:t>
      </w:r>
    </w:p>
    <w:p w14:paraId="75F6771E" w14:textId="5910D474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</w:t>
      </w:r>
      <w:r>
        <w:t xml:space="preserve">rámcovou </w:t>
      </w:r>
      <w:r w:rsidR="00FB3FAC">
        <w:t>dohod</w:t>
      </w:r>
      <w:r w:rsidRPr="00CC13D6">
        <w:t xml:space="preserve">ou, se řídí </w:t>
      </w:r>
      <w:r>
        <w:t>občanským</w:t>
      </w:r>
      <w:r w:rsidRPr="00CC13D6">
        <w:t xml:space="preserve"> zákoníkem.</w:t>
      </w:r>
    </w:p>
    <w:p w14:paraId="0B44B888" w14:textId="75CD7D88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</w:t>
      </w:r>
      <w:r>
        <w:t xml:space="preserve">rámcové </w:t>
      </w:r>
      <w:r w:rsidR="00FB3FAC">
        <w:t>dohod</w:t>
      </w:r>
      <w:r w:rsidRPr="00CC13D6">
        <w:t xml:space="preserve">y nebo její přílohy neplatným nebo neúčinným, netýká se to ostatních ustanovení této </w:t>
      </w:r>
      <w:r>
        <w:t xml:space="preserve">rámcové </w:t>
      </w:r>
      <w:r w:rsidR="00FB3FAC">
        <w:t>dohod</w:t>
      </w:r>
      <w:r w:rsidRPr="00CC13D6">
        <w:t xml:space="preserve">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platí, vyskytnou-li se v rámcové</w:t>
      </w:r>
      <w:r w:rsidRPr="00CC13D6">
        <w:t xml:space="preserve"> </w:t>
      </w:r>
      <w:r w:rsidR="00FB3FAC">
        <w:t>dohod</w:t>
      </w:r>
      <w:r w:rsidRPr="00CC13D6">
        <w:t>ě či jejích dodatcích případné mezery.</w:t>
      </w:r>
    </w:p>
    <w:p w14:paraId="6667EBFB" w14:textId="3E0B87B1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</w:t>
      </w:r>
      <w:r>
        <w:t xml:space="preserve">rámcové </w:t>
      </w:r>
      <w:r w:rsidR="00FB3FAC">
        <w:t>dohod</w:t>
      </w:r>
      <w:r w:rsidRPr="00CC13D6">
        <w:t xml:space="preserve">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3BD4ED53" w14:textId="4E9923BF" w:rsidR="006A5A15" w:rsidRPr="00923A7A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923A7A">
        <w:t xml:space="preserve">Nedílnou součástí této </w:t>
      </w:r>
      <w:r>
        <w:t xml:space="preserve">rámcové </w:t>
      </w:r>
      <w:r w:rsidR="00FB3FAC">
        <w:t>dohod</w:t>
      </w:r>
      <w:r w:rsidRPr="00923A7A">
        <w:t xml:space="preserve">y je </w:t>
      </w:r>
      <w:r w:rsidR="00FF6A71">
        <w:t>Technická s</w:t>
      </w:r>
      <w:r w:rsidRPr="00923A7A">
        <w:t>pecifikace předmětu plnění</w:t>
      </w:r>
      <w:r w:rsidR="00FF6A71">
        <w:t xml:space="preserve">. </w:t>
      </w:r>
    </w:p>
    <w:p w14:paraId="72A16DA1" w14:textId="41D16CBD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="00FB3FAC">
        <w:t>dohod</w:t>
      </w:r>
      <w:r w:rsidRPr="00CC13D6">
        <w:t>a nabývá platnosti podpisem</w:t>
      </w:r>
      <w:r>
        <w:t xml:space="preserve"> druhé ze</w:t>
      </w:r>
      <w:r w:rsidRPr="00CC13D6">
        <w:t xml:space="preserve"> smluvních stran</w:t>
      </w:r>
      <w:r w:rsidR="00132346">
        <w:t xml:space="preserve"> </w:t>
      </w:r>
      <w:r w:rsidR="00132346" w:rsidRPr="00CC13D6">
        <w:t>a účinnosti</w:t>
      </w:r>
      <w:r w:rsidR="00132346">
        <w:t xml:space="preserve"> dnem uveřejnění v registru smluv</w:t>
      </w:r>
      <w:r w:rsidRPr="00CC13D6">
        <w:t xml:space="preserve">. </w:t>
      </w:r>
      <w:r w:rsidRPr="006F05BB">
        <w:rPr>
          <w:b/>
        </w:rPr>
        <w:t xml:space="preserve">Tato rámcová </w:t>
      </w:r>
      <w:r w:rsidR="00FB3FAC" w:rsidRPr="006F05BB">
        <w:rPr>
          <w:b/>
        </w:rPr>
        <w:t>dohod</w:t>
      </w:r>
      <w:r w:rsidRPr="006F05BB">
        <w:rPr>
          <w:b/>
        </w:rPr>
        <w:t>a</w:t>
      </w:r>
      <w:r w:rsidR="009D29BF" w:rsidRPr="006F05BB">
        <w:rPr>
          <w:b/>
        </w:rPr>
        <w:t xml:space="preserve"> se uzavírá elektronicky.</w:t>
      </w:r>
    </w:p>
    <w:p w14:paraId="35F7A995" w14:textId="77777777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</w:p>
    <w:p w14:paraId="793188C6" w14:textId="478A03A5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  <w:r w:rsidR="007923ED">
        <w:t xml:space="preserve"> předmětu plnění</w:t>
      </w:r>
    </w:p>
    <w:p w14:paraId="70D9FEAE" w14:textId="77777777" w:rsidR="002F6834" w:rsidRDefault="002F6834" w:rsidP="00A577E7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</w:p>
    <w:p w14:paraId="760C5CA2" w14:textId="77777777" w:rsidR="006A5A15" w:rsidRDefault="006A5A15" w:rsidP="006A5A15"/>
    <w:p w14:paraId="534AAF28" w14:textId="77777777"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732E788E" w14:textId="77777777" w:rsidR="006A5A15" w:rsidRDefault="006A5A15" w:rsidP="006A5A15"/>
    <w:p w14:paraId="58D3D66C" w14:textId="77777777" w:rsidR="006A5A15" w:rsidRDefault="006A5A15" w:rsidP="006A5A15">
      <w:r>
        <w:t>V ………. dne ……….</w:t>
      </w:r>
      <w:r>
        <w:tab/>
      </w:r>
      <w:r>
        <w:tab/>
      </w:r>
      <w:r>
        <w:tab/>
      </w:r>
      <w:r>
        <w:tab/>
        <w:t>V Praze dne ……….</w:t>
      </w:r>
    </w:p>
    <w:p w14:paraId="51D5CA5F" w14:textId="748A1A2B" w:rsidR="006A5A15" w:rsidRDefault="006A5A15" w:rsidP="006A5A15"/>
    <w:p w14:paraId="711AD150" w14:textId="6BDEAADB" w:rsidR="007923ED" w:rsidRDefault="007923ED" w:rsidP="006A5A15"/>
    <w:p w14:paraId="584D8646" w14:textId="77777777" w:rsidR="007923ED" w:rsidRDefault="007923ED" w:rsidP="006A5A15"/>
    <w:p w14:paraId="11C16FE3" w14:textId="77777777"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14:paraId="44EE14FB" w14:textId="63698EDB" w:rsidR="006A5A15" w:rsidRDefault="006A5A15" w:rsidP="006A206B">
      <w:pPr>
        <w:spacing w:before="0"/>
      </w:pPr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</w:r>
      <w:r w:rsidR="00381B0E">
        <w:t xml:space="preserve">  </w:t>
      </w:r>
      <w:r>
        <w:t>Mgr. Tomáš Zatloukal</w:t>
      </w:r>
      <w:r w:rsidR="00381B0E">
        <w:t>, MBA</w:t>
      </w:r>
    </w:p>
    <w:p w14:paraId="7CA7BFE4" w14:textId="77777777" w:rsidR="006A5A15" w:rsidRPr="006A5A15" w:rsidRDefault="006A5A15" w:rsidP="006A206B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56DD8" w14:textId="77777777" w:rsidR="0069750E" w:rsidRDefault="0069750E">
      <w:pPr>
        <w:spacing w:before="0"/>
      </w:pPr>
      <w:r>
        <w:separator/>
      </w:r>
    </w:p>
  </w:endnote>
  <w:endnote w:type="continuationSeparator" w:id="0">
    <w:p w14:paraId="66B2732C" w14:textId="77777777" w:rsidR="0069750E" w:rsidRDefault="006975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4B98" w14:textId="6AF10869"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3E6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C3E6D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092D" w14:textId="77777777" w:rsidR="0069750E" w:rsidRDefault="0069750E">
      <w:pPr>
        <w:spacing w:before="0"/>
      </w:pPr>
      <w:r>
        <w:separator/>
      </w:r>
    </w:p>
  </w:footnote>
  <w:footnote w:type="continuationSeparator" w:id="0">
    <w:p w14:paraId="3E8200A9" w14:textId="77777777" w:rsidR="0069750E" w:rsidRDefault="0069750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D65B4" w14:textId="68DB0F04" w:rsidR="0076197A" w:rsidRPr="00775FC5" w:rsidRDefault="0076197A" w:rsidP="0043412D">
    <w:pPr>
      <w:pStyle w:val="Zhlav"/>
      <w:tabs>
        <w:tab w:val="clear" w:pos="4536"/>
        <w:tab w:val="clear" w:pos="9072"/>
      </w:tabs>
      <w:spacing w:before="0"/>
      <w:ind w:left="5245" w:hanging="5387"/>
      <w:jc w:val="right"/>
      <w:rPr>
        <w:i/>
        <w:sz w:val="22"/>
        <w:szCs w:val="22"/>
      </w:rPr>
    </w:pPr>
    <w:r w:rsidRPr="00775FC5">
      <w:rPr>
        <w:i/>
        <w:sz w:val="22"/>
        <w:szCs w:val="22"/>
      </w:rPr>
      <w:t>Čes</w:t>
    </w:r>
    <w:r w:rsidR="00D22386" w:rsidRPr="00775FC5">
      <w:rPr>
        <w:i/>
        <w:sz w:val="22"/>
        <w:szCs w:val="22"/>
      </w:rPr>
      <w:t>ká školní inspekce</w:t>
    </w:r>
    <w:r w:rsidR="006E7EC9" w:rsidRPr="00775FC5">
      <w:rPr>
        <w:i/>
        <w:sz w:val="22"/>
        <w:szCs w:val="22"/>
      </w:rPr>
      <w:t xml:space="preserve"> </w:t>
    </w:r>
    <w:r w:rsidR="006E7EC9" w:rsidRPr="00775FC5">
      <w:rPr>
        <w:i/>
        <w:sz w:val="22"/>
        <w:szCs w:val="22"/>
      </w:rPr>
      <w:tab/>
    </w:r>
    <w:r w:rsidR="00D22386" w:rsidRPr="00775FC5">
      <w:rPr>
        <w:i/>
        <w:sz w:val="22"/>
        <w:szCs w:val="22"/>
      </w:rPr>
      <w:t>O</w:t>
    </w:r>
    <w:r w:rsidR="00884D7C" w:rsidRPr="00775FC5">
      <w:rPr>
        <w:i/>
        <w:sz w:val="22"/>
        <w:szCs w:val="22"/>
      </w:rPr>
      <w:t>bnova uživatelské techniky ICT</w:t>
    </w:r>
    <w:r w:rsidR="00C3260B" w:rsidRPr="00775FC5">
      <w:rPr>
        <w:i/>
        <w:sz w:val="22"/>
        <w:szCs w:val="22"/>
      </w:rPr>
      <w:t xml:space="preserve"> 201</w:t>
    </w:r>
    <w:r w:rsidR="008744DA" w:rsidRPr="00775FC5">
      <w:rPr>
        <w:i/>
        <w:sz w:val="22"/>
        <w:szCs w:val="22"/>
      </w:rPr>
      <w:t>9</w:t>
    </w:r>
    <w:r w:rsidR="00884D7C" w:rsidRPr="00775FC5">
      <w:rPr>
        <w:i/>
        <w:sz w:val="22"/>
        <w:szCs w:val="22"/>
      </w:rPr>
      <w:t xml:space="preserve"> </w:t>
    </w:r>
  </w:p>
  <w:p w14:paraId="2693B1CA" w14:textId="3785E84D" w:rsidR="001C14D8" w:rsidRPr="00775FC5" w:rsidRDefault="0076197A" w:rsidP="00775FC5">
    <w:pPr>
      <w:pStyle w:val="Zhlav"/>
      <w:tabs>
        <w:tab w:val="clear" w:pos="4536"/>
        <w:tab w:val="clear" w:pos="9072"/>
      </w:tabs>
      <w:spacing w:before="0" w:after="120"/>
      <w:ind w:left="6946" w:hanging="6662"/>
      <w:rPr>
        <w:i/>
        <w:sz w:val="22"/>
        <w:szCs w:val="22"/>
      </w:rPr>
    </w:pPr>
    <w:r w:rsidRPr="00775FC5">
      <w:rPr>
        <w:i/>
        <w:sz w:val="22"/>
        <w:szCs w:val="22"/>
      </w:rPr>
      <w:t>sp.zn.: ČŠIG-S-</w:t>
    </w:r>
    <w:r w:rsidR="00315E99">
      <w:rPr>
        <w:i/>
        <w:sz w:val="22"/>
        <w:szCs w:val="22"/>
      </w:rPr>
      <w:t>386</w:t>
    </w:r>
    <w:r w:rsidR="00884D7C" w:rsidRPr="00775FC5">
      <w:rPr>
        <w:i/>
        <w:sz w:val="22"/>
        <w:szCs w:val="22"/>
      </w:rPr>
      <w:t>/1</w:t>
    </w:r>
    <w:r w:rsidR="00555148">
      <w:rPr>
        <w:i/>
        <w:sz w:val="22"/>
        <w:szCs w:val="22"/>
      </w:rPr>
      <w:t>9</w:t>
    </w:r>
    <w:r w:rsidR="00D22386" w:rsidRPr="00775FC5">
      <w:rPr>
        <w:i/>
        <w:sz w:val="22"/>
        <w:szCs w:val="22"/>
      </w:rPr>
      <w:t>-G42</w:t>
    </w:r>
    <w:r w:rsidR="006E7EC9" w:rsidRPr="00775FC5">
      <w:rPr>
        <w:i/>
        <w:sz w:val="22"/>
        <w:szCs w:val="22"/>
      </w:rPr>
      <w:t xml:space="preserve"> </w:t>
    </w:r>
    <w:r w:rsidR="006E7EC9" w:rsidRPr="00775FC5">
      <w:rPr>
        <w:i/>
        <w:sz w:val="22"/>
        <w:szCs w:val="22"/>
      </w:rPr>
      <w:tab/>
    </w:r>
    <w:r w:rsidRPr="00775FC5">
      <w:rPr>
        <w:i/>
        <w:sz w:val="22"/>
        <w:szCs w:val="22"/>
      </w:rPr>
      <w:t>čj.: ČŠIG-</w:t>
    </w:r>
    <w:r w:rsidR="00315E99">
      <w:rPr>
        <w:i/>
        <w:sz w:val="22"/>
        <w:szCs w:val="22"/>
      </w:rPr>
      <w:t>3571</w:t>
    </w:r>
    <w:r w:rsidR="00884D7C" w:rsidRPr="00775FC5">
      <w:rPr>
        <w:i/>
        <w:sz w:val="22"/>
        <w:szCs w:val="22"/>
      </w:rPr>
      <w:t>/1</w:t>
    </w:r>
    <w:r w:rsidR="009E397F" w:rsidRPr="00775FC5">
      <w:rPr>
        <w:i/>
        <w:sz w:val="22"/>
        <w:szCs w:val="22"/>
      </w:rPr>
      <w:t>9</w:t>
    </w:r>
    <w:r w:rsidR="00D22386" w:rsidRPr="00775FC5">
      <w:rPr>
        <w:i/>
        <w:sz w:val="22"/>
        <w:szCs w:val="22"/>
      </w:rPr>
      <w:t>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F8C"/>
    <w:multiLevelType w:val="hybridMultilevel"/>
    <w:tmpl w:val="A45013A4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90019E"/>
    <w:multiLevelType w:val="hybridMultilevel"/>
    <w:tmpl w:val="4A40E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04E5B"/>
    <w:multiLevelType w:val="hybridMultilevel"/>
    <w:tmpl w:val="0C7C3686"/>
    <w:lvl w:ilvl="0" w:tplc="84AE7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1326"/>
    <w:multiLevelType w:val="hybridMultilevel"/>
    <w:tmpl w:val="ADDEA2F6"/>
    <w:lvl w:ilvl="0" w:tplc="39781962">
      <w:start w:val="12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174AF9"/>
    <w:multiLevelType w:val="hybridMultilevel"/>
    <w:tmpl w:val="1652B6C8"/>
    <w:lvl w:ilvl="0" w:tplc="9EC8FA00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3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0"/>
  </w:num>
  <w:num w:numId="5">
    <w:abstractNumId w:val="17"/>
  </w:num>
  <w:num w:numId="6">
    <w:abstractNumId w:val="11"/>
  </w:num>
  <w:num w:numId="7">
    <w:abstractNumId w:val="2"/>
  </w:num>
  <w:num w:numId="8">
    <w:abstractNumId w:val="5"/>
  </w:num>
  <w:num w:numId="9">
    <w:abstractNumId w:val="16"/>
  </w:num>
  <w:num w:numId="10">
    <w:abstractNumId w:val="13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5"/>
  </w:num>
  <w:num w:numId="18">
    <w:abstractNumId w:val="9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112C5"/>
    <w:rsid w:val="00023F89"/>
    <w:rsid w:val="000750D0"/>
    <w:rsid w:val="0007537E"/>
    <w:rsid w:val="0008064E"/>
    <w:rsid w:val="000A32BA"/>
    <w:rsid w:val="000A4BB3"/>
    <w:rsid w:val="000B62EF"/>
    <w:rsid w:val="000B6C1C"/>
    <w:rsid w:val="000B7A9E"/>
    <w:rsid w:val="000C26AE"/>
    <w:rsid w:val="00107A9B"/>
    <w:rsid w:val="0011081B"/>
    <w:rsid w:val="00132346"/>
    <w:rsid w:val="001375FD"/>
    <w:rsid w:val="00140115"/>
    <w:rsid w:val="00144058"/>
    <w:rsid w:val="00144307"/>
    <w:rsid w:val="0016199C"/>
    <w:rsid w:val="00173BBA"/>
    <w:rsid w:val="001928BC"/>
    <w:rsid w:val="001D2053"/>
    <w:rsid w:val="001E6887"/>
    <w:rsid w:val="001F5E33"/>
    <w:rsid w:val="00212378"/>
    <w:rsid w:val="00216DF0"/>
    <w:rsid w:val="002431E2"/>
    <w:rsid w:val="00243C1B"/>
    <w:rsid w:val="00254BD9"/>
    <w:rsid w:val="00292BA3"/>
    <w:rsid w:val="002A0A84"/>
    <w:rsid w:val="002A35B5"/>
    <w:rsid w:val="002B68A0"/>
    <w:rsid w:val="002C5A4E"/>
    <w:rsid w:val="002C6A08"/>
    <w:rsid w:val="002D78A5"/>
    <w:rsid w:val="002E1EF5"/>
    <w:rsid w:val="002F6834"/>
    <w:rsid w:val="00315E99"/>
    <w:rsid w:val="00344260"/>
    <w:rsid w:val="00356532"/>
    <w:rsid w:val="003611DA"/>
    <w:rsid w:val="00361329"/>
    <w:rsid w:val="0036209F"/>
    <w:rsid w:val="00365490"/>
    <w:rsid w:val="003661B5"/>
    <w:rsid w:val="00372FFB"/>
    <w:rsid w:val="00381B0E"/>
    <w:rsid w:val="00396F4F"/>
    <w:rsid w:val="003B01DC"/>
    <w:rsid w:val="003B693B"/>
    <w:rsid w:val="003C5766"/>
    <w:rsid w:val="003F1665"/>
    <w:rsid w:val="00410DCC"/>
    <w:rsid w:val="0042316F"/>
    <w:rsid w:val="004233D5"/>
    <w:rsid w:val="0043412D"/>
    <w:rsid w:val="004447B2"/>
    <w:rsid w:val="00444877"/>
    <w:rsid w:val="00445A25"/>
    <w:rsid w:val="00447FF2"/>
    <w:rsid w:val="00461001"/>
    <w:rsid w:val="00477C77"/>
    <w:rsid w:val="004836D8"/>
    <w:rsid w:val="004B1CD5"/>
    <w:rsid w:val="004C1EF2"/>
    <w:rsid w:val="004C2575"/>
    <w:rsid w:val="004C7F88"/>
    <w:rsid w:val="004D37DC"/>
    <w:rsid w:val="004E215A"/>
    <w:rsid w:val="004F03CB"/>
    <w:rsid w:val="004F07AE"/>
    <w:rsid w:val="00504735"/>
    <w:rsid w:val="00510539"/>
    <w:rsid w:val="0052587B"/>
    <w:rsid w:val="00555148"/>
    <w:rsid w:val="00560F2E"/>
    <w:rsid w:val="0057698E"/>
    <w:rsid w:val="005A5843"/>
    <w:rsid w:val="005B3B7C"/>
    <w:rsid w:val="005C3128"/>
    <w:rsid w:val="005C55FD"/>
    <w:rsid w:val="005E43E0"/>
    <w:rsid w:val="0060739A"/>
    <w:rsid w:val="006559C8"/>
    <w:rsid w:val="0068590E"/>
    <w:rsid w:val="00687455"/>
    <w:rsid w:val="0069750E"/>
    <w:rsid w:val="006A13B6"/>
    <w:rsid w:val="006A206B"/>
    <w:rsid w:val="006A5A15"/>
    <w:rsid w:val="006C3F11"/>
    <w:rsid w:val="006C6EF9"/>
    <w:rsid w:val="006D423C"/>
    <w:rsid w:val="006E7EC9"/>
    <w:rsid w:val="006F05BB"/>
    <w:rsid w:val="006F4B11"/>
    <w:rsid w:val="00703868"/>
    <w:rsid w:val="00706373"/>
    <w:rsid w:val="00726A11"/>
    <w:rsid w:val="007338A9"/>
    <w:rsid w:val="00741DE5"/>
    <w:rsid w:val="0076197A"/>
    <w:rsid w:val="00775FC5"/>
    <w:rsid w:val="007923ED"/>
    <w:rsid w:val="007D6649"/>
    <w:rsid w:val="007E7401"/>
    <w:rsid w:val="00814F30"/>
    <w:rsid w:val="00816016"/>
    <w:rsid w:val="00846E56"/>
    <w:rsid w:val="00851433"/>
    <w:rsid w:val="00855E8B"/>
    <w:rsid w:val="00871BA8"/>
    <w:rsid w:val="008744DA"/>
    <w:rsid w:val="00882F79"/>
    <w:rsid w:val="00884D7C"/>
    <w:rsid w:val="00897466"/>
    <w:rsid w:val="008D6AFE"/>
    <w:rsid w:val="008E4414"/>
    <w:rsid w:val="008E7204"/>
    <w:rsid w:val="009033C0"/>
    <w:rsid w:val="00906D96"/>
    <w:rsid w:val="00913C25"/>
    <w:rsid w:val="009165F9"/>
    <w:rsid w:val="00941FE7"/>
    <w:rsid w:val="00952FBE"/>
    <w:rsid w:val="0095465E"/>
    <w:rsid w:val="00974E49"/>
    <w:rsid w:val="009D29BF"/>
    <w:rsid w:val="009D2C54"/>
    <w:rsid w:val="009E397F"/>
    <w:rsid w:val="009E49AE"/>
    <w:rsid w:val="009E569A"/>
    <w:rsid w:val="009E7DB9"/>
    <w:rsid w:val="00A12A1F"/>
    <w:rsid w:val="00A2121E"/>
    <w:rsid w:val="00A22E9B"/>
    <w:rsid w:val="00A43CBC"/>
    <w:rsid w:val="00A44D0E"/>
    <w:rsid w:val="00A45637"/>
    <w:rsid w:val="00A45C29"/>
    <w:rsid w:val="00A56F7F"/>
    <w:rsid w:val="00A577E7"/>
    <w:rsid w:val="00A600CC"/>
    <w:rsid w:val="00A60BB5"/>
    <w:rsid w:val="00A67A42"/>
    <w:rsid w:val="00A7100A"/>
    <w:rsid w:val="00A9414F"/>
    <w:rsid w:val="00AA4F1C"/>
    <w:rsid w:val="00AA56CD"/>
    <w:rsid w:val="00AB450E"/>
    <w:rsid w:val="00AC3E6D"/>
    <w:rsid w:val="00AD6E19"/>
    <w:rsid w:val="00AF7D35"/>
    <w:rsid w:val="00B01FC2"/>
    <w:rsid w:val="00B40AB9"/>
    <w:rsid w:val="00B43839"/>
    <w:rsid w:val="00B4427D"/>
    <w:rsid w:val="00B458FC"/>
    <w:rsid w:val="00B574B8"/>
    <w:rsid w:val="00B703AD"/>
    <w:rsid w:val="00B819F2"/>
    <w:rsid w:val="00B81D29"/>
    <w:rsid w:val="00B91383"/>
    <w:rsid w:val="00BA70DC"/>
    <w:rsid w:val="00BD3118"/>
    <w:rsid w:val="00BD6488"/>
    <w:rsid w:val="00BE74FE"/>
    <w:rsid w:val="00BE7593"/>
    <w:rsid w:val="00C16037"/>
    <w:rsid w:val="00C16316"/>
    <w:rsid w:val="00C26092"/>
    <w:rsid w:val="00C3260B"/>
    <w:rsid w:val="00C34527"/>
    <w:rsid w:val="00C40C5D"/>
    <w:rsid w:val="00C50EA6"/>
    <w:rsid w:val="00C60194"/>
    <w:rsid w:val="00C743FE"/>
    <w:rsid w:val="00C81F18"/>
    <w:rsid w:val="00C92C93"/>
    <w:rsid w:val="00C933FB"/>
    <w:rsid w:val="00CA29DD"/>
    <w:rsid w:val="00CB5034"/>
    <w:rsid w:val="00CE6AC4"/>
    <w:rsid w:val="00CF0A5B"/>
    <w:rsid w:val="00CF5912"/>
    <w:rsid w:val="00CF6AC3"/>
    <w:rsid w:val="00D22386"/>
    <w:rsid w:val="00D77D36"/>
    <w:rsid w:val="00D876B7"/>
    <w:rsid w:val="00DA0C1D"/>
    <w:rsid w:val="00DB166C"/>
    <w:rsid w:val="00DD5963"/>
    <w:rsid w:val="00DF076D"/>
    <w:rsid w:val="00E0101D"/>
    <w:rsid w:val="00E21778"/>
    <w:rsid w:val="00E44D7F"/>
    <w:rsid w:val="00E64A05"/>
    <w:rsid w:val="00E70D3C"/>
    <w:rsid w:val="00E82567"/>
    <w:rsid w:val="00EA7969"/>
    <w:rsid w:val="00EB7FB8"/>
    <w:rsid w:val="00EC7F0E"/>
    <w:rsid w:val="00ED3718"/>
    <w:rsid w:val="00F267CF"/>
    <w:rsid w:val="00F321A0"/>
    <w:rsid w:val="00F74CD8"/>
    <w:rsid w:val="00F76E3E"/>
    <w:rsid w:val="00F80C1D"/>
    <w:rsid w:val="00F85F2F"/>
    <w:rsid w:val="00F916A7"/>
    <w:rsid w:val="00F9376C"/>
    <w:rsid w:val="00FB3FAC"/>
    <w:rsid w:val="00FC2A03"/>
    <w:rsid w:val="00FE6230"/>
    <w:rsid w:val="00FE771D"/>
    <w:rsid w:val="00FF6A7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48055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49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9E7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DB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DB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lockQuotation">
    <w:name w:val="Block Quotation"/>
    <w:basedOn w:val="Normln"/>
    <w:rsid w:val="00E64A05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.melicharek@csi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C426-53AD-4B68-9C22-36D534C3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2248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Biľová Oľga</cp:lastModifiedBy>
  <cp:revision>2</cp:revision>
  <dcterms:created xsi:type="dcterms:W3CDTF">2019-06-25T11:52:00Z</dcterms:created>
  <dcterms:modified xsi:type="dcterms:W3CDTF">2019-06-25T11:52:00Z</dcterms:modified>
</cp:coreProperties>
</file>